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PE19.014286 vom 21. Januar 2021</w:t>
      </w:r>
    </w:p>
    <w:p>
      <w:r>
        <w:t>VD Tribunal cantonal, 2021-01-21, FR</w:t>
      </w:r>
    </w:p>
    <w:p>
      <w:r>
        <w:rPr>
          <w:b/>
        </w:rPr>
        <w:t xml:space="preserve">Quelle: </w:t>
      </w:r>
      <w:r>
        <w:t>https://mcp.opencaselaw.ch/entscheid/vd_gerichte_PE19.014286</w:t>
      </w:r>
    </w:p>
    <w:p>
      <w:r>
        <w:t>FR: VD_GERICHTE PE19.014286 du 21 janvier 2021</w:t>
      </w:r>
    </w:p>
    <w:p>
      <w:r>
        <w:t>IT: VD_GERICHTE PE19.014286 del 21 gennaio 2021</w:t>
      </w:r>
    </w:p>
    <w:p>
      <w:pPr>
        <w:pStyle w:val="Heading2"/>
      </w:pPr>
      <w:r>
        <w:t>Erwägungen</w:t>
      </w:r>
    </w:p>
    <w:p>
      <w:r>
        <w:rPr>
          <w:b/>
        </w:rPr>
        <w:t>E. 4</w:t>
      </w:r>
    </w:p>
    <w:p>
      <w:r>
        <w:t>L'appelant invoque une violation des art. 97 CP et 187 CP. Pour lui, dès lors qu'il était dans l'erreur s'agissant de l'âge de la victime, seul l'art. 187 al. 4 CP s'appliquerait. S'agissant d'un délit (art. 10 ch. 3 CP), il se prescrit par 7 ans jusqu'au 31 décembre 2013 et par 10 ans en vertu de la nouvelle teneur de cette disposition entrée en vigueur au 1er janvier 2014, si bien que les faits seraient prescrits.</w:t>
      </w:r>
    </w:p>
    <w:p>
      <w:r>
        <w:rPr>
          <w:b/>
        </w:rPr>
        <w:t>E. 4.1</w:t>
      </w:r>
    </w:p>
    <w:p>
      <w:r>
        <w:t>L'art. 187 CP réprime le comportement de celui qui aura commis un acte d'ordre sexuel avec un enfant de moins de 16 ans (ch. 1). Si la différence d'âge entre les participants ne dépasse pas trois ans, l'acte n'est pas punissable (ch. 2). Si l’auteur a agi en admettant par erreur que sa victime était âgée de 16 ans au moins alors qu’en usant des précautions voulues il aurait pu éviter l’erreur, la peine est réduite à une peine privative de liberté de trois ans au plus ou une peine pécuniaire (ch. 4). Subjectivement, l'auteur doit agir intentionnellement, l'intention devant porter sur le caractère sexuel de l'acte, mais aussi sur le fait que la victime est âgée de moins de seize ans et sur la différence d'âge (TF 6B_299/2018 du 4 juillet 2018 consid. 2.1.1 ; TF 6B_457/2010 du</w:t>
      </w:r>
    </w:p>
    <w:p>
      <w:r>
        <w:rPr>
          <w:b/>
        </w:rPr>
        <w:t>E. 4.2</w:t>
      </w:r>
    </w:p>
    <w:p>
      <w:r>
        <w:t>II a été retenu plus haut (cf. consid. 3.2.3 supra) que l'appelant a pu se fourvoyer sur l'âge de la plaignante lorsqu'il a entretenu des rapports sexuels avec elle à son propre domicile. Pour cet acte-là, seul l'art. 187 ch. 4 CP entre en ligne de compte. S'agissant d'un délit, la prescription est acquise et l’appel doit être admis sur ce point particulier. En revanche, pour les actes postérieurs, à savoir lorsqu'il s'est rendu chez la plaignante, lui a léché le téton après avoir écarté le bonnet de son bikini ou lorsqu'il lui a pris une fesse dans la main, il savait qu'elle n'avait pas la majorité sexuelle et ces actes tombent sous le coup de l'art. 187 ch. 1 CP. 5. L'appelant invoque une violation de l'art. 191 CP. Il estime que la plaignante n'était pas incapable de résister. Selon lui, considérer le contraire, à savoir qu'un taux d'alcoolémie entre 0.37 mg/l et 0.67 mg/l ou une faible consommation de cannabis serait suffisant pour engendrer une incapacité de discernement, reviendrait à considérer que toute relation sexuelle à l'issue d'une soirée légèrement arrosée constituerait une infraction à l'art. 191 CP. 5.1 L'art. 191 CP punit celui qui, sachant qu'une personne est incapable de discernement ou de résistance, en aura profité pour commettre sur elle l'acte sexuel, un acte analogue ou un autre acte d'ordre sexuel. Cette disposition protège, indépendamment de leur âge et de leur sexe, les personnes incapables de discernement ou de résistance dont l'auteur, en connaissance de cause, entend profiter pour commettre avec elles un acte d'ordre sexuel (ATF 120 IV 194 consid. 2a ; TF 6B_140/2007 du 30 juillet 2007 consid. 5). A la différence de la contrainte sexuelle (art. 189 CP) et du viol (art. 190 CP), la victime est incapable de discernement ou de résistance, non en raison d'une contrainte exercée par l'auteur, mais pour d'autres causes. Une personne est incapable de discernement au sens de l'art. 191 CP si, au moment de l'acte, elle n'est pas en état de former sa volonté</w:t>
      </w:r>
    </w:p>
    <w:p>
      <w:r>
        <w:t>- 34 - et de s'y tenir. La victime doit se trouver dans un état physique ou psychique qui, concrètement, l'empêche de s'opposer aux visées de l'auteur (TF 6B_578/2018 du 20 mars 2019 consid. 2.1) ; elle ne doit ainsi pas être en mesure de former, exprimer ou exercer efficacement une volonté de s'opposer à des atteintes sexuelles. Une incapacité passagère suffit ; elle peut résulter de causes durables ou non, chroniques ou liées aux circonstances, d'un état mental gravement anormal, d'une sévère intoxication due à l'alcool ou à la drogue, d'entraves matérielles, telle la position particulière d'une femme installée sur une chaise gynécologique, ou encore d'un état associant à la somnolence et à l'alcoolisation l'erreur sur l'identité du partenaire sexuel que la victime croit à tort être son mari. Encore faut-il que la victime soit totalement incapable de se défendre. Si l'inaptitude n'est que partielle - par exemple en raison d'un état d'ivresse - la victime n'est pas incapable de résister (ATF 133 IV 49 consid. 7.2). Les art. 187 et 191 CP protègent deux biens juridiques différents (ATF 120 IV 194 consid. 2b) ; lorsque l'enfant, en raison de son âge, n'est pas capable de discernement, l'art. 187 CP s'applique en concours avec l'art. 191 CP (TF 6S.121/2003 du 11 juin 2003 consid. 1.1). Sur le plan subjectif, l'art. 191 CP définit une infraction intentionnelle. La formule « sachant que » signifie que l'auteur a connaissance de l'incapacité de discernement ou de résistance de la victime. Il appartient par conséquent au juge d'examiner avec soin si l'auteur avait vraiment conscience de l'état d'incapacité de la victime. Le dol éventuel suffit (ATF 119 IV 230 consid. 3a, JdT 1995 IV 111 ; TF 6B_140/2007 du 30 juillet 2007 consid. 6.2) 5.2 En l'espèce, pour des motifs déjà explicités (cf. consid. 2.2 supra), la consommation de 3 ou 4 bières à laquelle s'ajoute quelques « lattes » tirées sur un joint « maison », pour une jeune fille de 14 ans qui avait certes déjà bu des bières mais qui n'avait jamais consommé de produits stupéfiants, doit être considérée comme suffisante pour l'empêcher de résister. Les déclarations précises, cohérentes de la plaignante s'agissant de l'état dans lequel elle était après avoir consommé</w:t>
      </w:r>
    </w:p>
    <w:p>
      <w:r>
        <w:t>- 35 - des bières - elle dormait au sol entre le canapé et la table du salon -, puis un joint, même partiellement, soit qu'elle était « déglinguée », que tout tournait et qu'elle a eu un black-out, suffisent à considérer qu'elle n'était pas en mesure de résister à l'appelant. Outre l’incapacité liée à sa consommation d’alcool et de stupéfiant, on doit également tenir compte de son incapacité de résister à l’appelant en lien avec l’état de sidération dans lequel elle se trouvait (cf. consid. 3.2.7 supra). S'agissant des actes postérieurs à la pénétration, à savoir le fait qu'elle a embrassé l'appelant avec la langue ou qu'elle lui a fait une fellation, on ne peut rien en déduire non plus, rien n'indiquant qu'il se soit passé suffisamment de temps pour que la plaignante ait récupéré ses esprits. 6. L’appelant ne conteste pas à proprement parler le raisonnement des premiers juges concernant l’appréciation de sa culpabilité à laquelle il convient de se référer (art. 82 al. 4 CPP ; jgt p. 28). Afin de tenir compte de la prescription pour les faits qui sont survenus dans l’appartement de l’appelant, puisqu’on peut admettre – au bénéfice du doute – qu’il a pu se tromper sur l’âge de la plaignante ce soir-là et penser qu’elle avait la majorité sexuelle (cf. consid. 3.2.3 et 4.2 supra), il convient toutefois de refixer la quotité de la peine, initialement fixée à 22 mois. L’appelant est reconnu coupable d’actes d'ordre sexuel avec des enfants (cf. chiffre 2.2 supra) et d’actes d'ordre sexuel commis sur une personne incapable de discernement ou de résistance (cf. chiffre 2.1 supra). Les infractions sont en concours. Comme les premiers juges, on retiendra que l’infraction d’actes d'ordre sexuel commis sur une personne incapable de discernement ou de résistance, qui est la plus grave, doit être sanctionnée par une peine privative de liberté de 12 mois. Dès lors que l'infraction d'actes d'ordre sexuel avec un enfant ne concerne plus la relation sexuelle complète au domicile de l’appelant, qui est objectivement la plus grave et pour laquelle la prescription est acquise, la peine additionnelle, initialement arrêtée à dix mois, peut être réduite à quatre mois. C’est ainsi une peine privative de liberté de 16 mois qui doit être prononcée à l’encontre de l’appelant. L’octroi du sursis peut être</w:t>
      </w:r>
    </w:p>
    <w:p>
      <w:r>
        <w:t>- 36 - confirmé, ainsi que le délai d’épreuve arrêté à deux ans, éléments qui ne sont pas contestés. Il en va de même s’agissant de la renonciation à l’expulsion de l’appelant. 7. L’appelant conclut au rejet des prétentions civiles et en réparation de dommage futur de la plaignante. Cette conclusion repose sur la prémisse de son acquittement et tombe à faux, la culpabilité de l’appelant étant confirmée. Compte tenu de l’impact du traumatisme subi par la plaignante en relation avec le comportement de l’appelant tel que décrit par le Dr [...] (P. 68) et dont il n’y a pas lieu de s’écarter, la Cour de céans confirme le montant de 15'000 fr. fixé par les premiers juges, mis à la charge de l’appelant en faveur de la plaignante à titre de réparation de son tort moral.</w:t>
      </w:r>
    </w:p>
    <w:p>
      <w:r>
        <w:rPr>
          <w:b/>
        </w:rPr>
        <w:t>E. 8</w:t>
      </w:r>
    </w:p>
    <w:p>
      <w:r>
        <w:t>septembre 2010 consid. 1.2.1). Le dol éventuel suffit. C'est dire que si l'auteur accepte l'éventualité que le jeune ait moins de 16 ans, il agit par dol éventuel et ne peut se prévaloir d'une erreur sur l'âge de la victime (Corboz, Les infractions en droit suisse, 3° éd., 2010, n. 45 ad art. 187 CP). En revanche, l'art. 187 ch. 4 CP vise l'hypothèse où l'auteur adopte intentionnellement le comportement objectivement délictueux, mais en croyant par erreur que l'enfant a atteint l'âge de 16 ans, alors que cette erreur était évitable. Si l'erreur était inévitable, l'auteur doit être acquitté (TF 6B_887/2017 du 8 mars 2018 consid. 3.1 ; TF 6B_1058/2010 du 1er mars 2011 consid. 1.1 et la réf. citée). L’application de l’art. 187 ch. 4 CP a pour conséquence de réduire le délai de prescription à 10 ans. Le devoir de diligence est diminué pour les jeunes auteurs, alors que les exigences sont plus hautes lorsque l’auteur est d’âge mûr (Petit Commentaire du Code pénal, Helbing Lichtenhahn, Bâle 2017, n. 47 ad art. art. 46 CP et les références citées).</w:t>
      </w:r>
    </w:p>
    <w:p>
      <w:r>
        <w:t>- 33 -</w:t>
      </w:r>
    </w:p>
    <w:p>
      <w:r>
        <w:rPr>
          <w:b/>
        </w:rPr>
        <w:t>E. 8.1</w:t>
      </w:r>
    </w:p>
    <w:p>
      <w:r>
        <w:t>En définitive, l’appel est partiellement admis dans le sens des considérants et le jugement entrepris modifié au chiffre II de son dispositif, la peine prononcée à l’encontre de l’appelant étant réduite de 22 à 16 mois pour tenir compte de la prescription du délit d’actes d’ordre sexuel avec un enfant s’agissant des faits survenus dans l’appartement de l’appelant à [...]. Le jugement est confirmé pour le surplus. Au vu de l’issue de la procédure, il n’y a pas lieu de modifier le sort des frais de justice de première instance.</w:t>
      </w:r>
    </w:p>
    <w:p>
      <w:r>
        <w:rPr>
          <w:b/>
        </w:rPr>
        <w:t>E. 8.2</w:t>
      </w:r>
    </w:p>
    <w:p>
      <w:r>
        <w:t>L’appelant étant toujours reconnu coupable d'actes d'ordre sexuel avec des enfants et d’actes d'ordre sexuel commis sur une personne incapable de discernement ou de résistance, il n’y a pas lieu de lui allouer d’indemnité au sens de l’art. 432 CPP, respectivement 429 CPP pour la procédure d’appel.</w:t>
      </w:r>
    </w:p>
    <w:p>
      <w:r>
        <w:t>- 37 - Me David Vaucher a produit une liste d'opérations (P. 66) faisant état d’une activité de 19.4 heures, dont 13 heures pour la préparation de la déclaration d’appel. Cette durée est excessive, les arguments présentés en appel ayant déjà été soulevés en première instance, de sorte qu’une durée de 10 heures sera admise pour la préparation de la déclaration d’appel. On retranchera également le temps annoncé (0.3 heures) pour la constitution du bordereau de pièces relevant du travail de secrétariat (CREP 20 janvier 2021/59 consid. 3). Enfin, on tiendra compte du temps effectif de 4 heures pour l’audience d’appel. C’est ainsi un mandat de 16h18 dont il sera tenu compte. Cela représente des honoraires de 2'934 fr., auxquels s’ajoutent une vacation forfaitaire de 120 fr., des débours par 58 fr. 70 et la TVA sur le tout, par 239 fr. 70, soit une indemnité totale de 3'352 fr. 40. Me Camille La Spada-Odier a également produit une liste d’opérations annonçant une activité de 27h30 (P. 65), dont 7 heures consacrées à l’étude de la procédure, 9h30 à la préparation de l’audience et 2h 30 de conférences avec la cliente. L’avocate est déjà intervenue en première instance de sorte qu’elle a une connaissance approfondie du dossier et des arguments présentés par la défense ; il ne sera dès lors pas tenu compte des 7 heures d’étude de la procédure annoncées. De même, on retranchera une heure au temps indiqué pour la préparation de l’audience d’appel, pour admettre 8h30, ainsi qu’une heure sur les 2h20 annoncées de conférence avec la cliente le 10 juin 2021, pour admettre 1h30, ce qui paraît suffisant pour préparer la cliente en vue de l’audience d’appel. C’est ainsi un mandat de 19h30 qui sera admis, correspondant à des honoraires de 3'510 fr., auxquels s’ajoutent une vacation forfaitaire de 120 fr., des débours par 70 fr. 20 et la TVA sur le tout, par 284 fr. 90, soit une indemnité totale de 3'985 fr. 10.</w:t>
      </w:r>
    </w:p>
    <w:p>
      <w:r>
        <w:rPr>
          <w:b/>
        </w:rPr>
        <w:t>E. 8.3</w:t>
      </w:r>
    </w:p>
    <w:p>
      <w:r>
        <w:t>Vu l’issue de la cause, les frais de la procédure d’appel, par 10'567 fr. 50, constitués de l’émolument d’arrêt (art. 21 al. 1 et 2 TFIP [tarif des frais de procédure et indemnités en matière pénale du 28 septembre 2010 ; BLV 312.03.1]), par 3’230 fr., ainsi que de l’indemnité allouée au conseil d’office de P.________, par 3'985 fr. 10, et celle allouée à</w:t>
      </w:r>
    </w:p>
    <w:p>
      <w:r>
        <w:t>- 38 - son défenseur d’office, par 3'352 fr. 40, seront mis par trois quarts, soit 7'925 fr. 60, à la charge d’António Manuel Da Silva Ribeiro, le solde étant laissé, en équité, à la charge de l’Etat. F.________ ne sera tenu de rembourser à l’Etat les trois quarts des indemnités en faveur des avocats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