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PE19.013399 vom 7. April 2022</w:t>
      </w:r>
    </w:p>
    <w:p>
      <w:r>
        <w:t>VD Tribunal cantonal, 2022-04-07, FR</w:t>
      </w:r>
    </w:p>
    <w:p>
      <w:r>
        <w:rPr>
          <w:b/>
        </w:rPr>
        <w:t xml:space="preserve">Quelle: </w:t>
      </w:r>
      <w:r>
        <w:t>https://mcp.opencaselaw.ch/entscheid/vd_gerichte_PE19.013399</w:t>
      </w:r>
    </w:p>
    <w:p>
      <w:r>
        <w:t>FR: VD_GERICHTE PE19.013399 du 7 avril 2022</w:t>
      </w:r>
    </w:p>
    <w:p>
      <w:r>
        <w:t>IT: VD_GERICHTE PE19.013399 del 7 aprile 2022</w:t>
      </w:r>
    </w:p>
    <w:p>
      <w:pPr>
        <w:pStyle w:val="Heading2"/>
      </w:pPr>
      <w:r>
        <w:t>Erwägungen</w:t>
      </w:r>
    </w:p>
    <w:p>
      <w:r>
        <w:rPr>
          <w:b/>
        </w:rPr>
        <w:t>E. 1</w:t>
      </w:r>
    </w:p>
    <w:p>
      <w:r>
        <w:t>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w:t>
      </w:r>
    </w:p>
    <w:p>
      <w:r>
        <w:t>- 5 -</w:t>
      </w:r>
    </w:p>
    <w:p>
      <w:r>
        <w:rPr>
          <w:b/>
        </w:rPr>
        <w:t>E. 3.1</w:t>
      </w:r>
    </w:p>
    <w:p>
      <w:r>
        <w:t>Le recourant ne conteste pas, à juste titre, l’existence de soupçons suffisants de commission d’un crime ou d’un délit à son encontre. Il conteste en revanche le risque de collusion retenu par le premier juge, faisant valoir que celui-ci serait purement théorique dès lors que les faits qui lui sont reprochés remonteraient à 2019, qu’il serait au courant de la procédure dirigée contre X.________ depuis 2020, qu’il aurait collaboré à l’enquête et que la direction de la procédure détiendrait déjà les éléments nécessaires à établir la vérité.</w:t>
      </w:r>
    </w:p>
    <w:p>
      <w:r>
        <w:rPr>
          <w:b/>
        </w:rPr>
        <w:t>E. 3.2</w:t>
      </w:r>
    </w:p>
    <w:p>
      <w:r>
        <w:t>Selon l’art. 221 al. 1 let. b CPP, la détention provisoire et la détention pour des motifs de sûreté peuvent être ordonnées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ainsi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w:t>
      </w:r>
    </w:p>
    <w:p>
      <w:r>
        <w:t>- 6 -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personnes qui l’accusent.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précité consid. 4.2 ; ATF 132 I 21 consid. 3.2 et les références citées ; TF 1B_687/2021 du 11 janvier 2022 consid. 4.1).</w:t>
      </w:r>
    </w:p>
    <w:p>
      <w:r>
        <w:rPr>
          <w:b/>
        </w:rPr>
        <w:t>E. 3.3</w:t>
      </w:r>
    </w:p>
    <w:p>
      <w:r>
        <w:t>En l’espèce, quand bien même une enquête est ouverte depuis 2019 et le recourant a collaboré dans une certaine mesure à la procédure ouverte à son encontre, l’ampleur du trafic et en particulier de l’activité délictueuse du prévenu doivent encore être précisément déterminées. Pour ce faire, il conviendra encore de procéder, sur la base des résultats des analyses de l’extraction du téléphone cellulaire et des comptes bancaires du recourant qui sont en cours, aux auditions de bon nombre de ses contacts. Dans ces circonstances, maintenant qu’il se sait personnellement sous le coup d’une enquête pour trafic de produits dopants, le risque est élevé qu’il cherche à interférer dans l’instruction, notamment en prenant contact avec les autres personnes impliquées dans ce trafic afin de minimiser son implication en tentant d’influencer leurs déclarations. Au vu de ces éléments, c’est à juste titre que le risque de collusion a été retenu.</w:t>
      </w:r>
    </w:p>
    <w:p>
      <w:r>
        <w:rPr>
          <w:b/>
        </w:rPr>
        <w:t>E. 4.1</w:t>
      </w:r>
    </w:p>
    <w:p>
      <w:r>
        <w:t>Le recourant conteste également l’existence d’un risque de fuite. Il fait valoir que l’essentiel de sa vie sociale se trouverait en Suisse, pays dans lequel il est établi au bénéfice d’un permis C et où vivraient la</w:t>
      </w:r>
    </w:p>
    <w:p>
      <w:r>
        <w:t>- 7 - majeure partie de sa famille ainsi que sa nouvelle compagne, où il bénéficierait d’un suivi médical et psychiatrique et où il aurait déposé une demande auprès de l’assurance invalidité. Il relève en outre qu’il aurait eu tout loisir de quitter définitivement la Suisse dès qu’il aurait eu connaissance de l’ouverture d’une instruction pénale, ce qu’il n’aurait pourtant pas fait.</w:t>
      </w:r>
    </w:p>
    <w:p>
      <w:r>
        <w:rPr>
          <w:b/>
        </w:rPr>
        <w:t>E. 4.2</w:t>
      </w:r>
    </w:p>
    <w:p>
      <w:r>
        <w:t>Conformément à l'art. 221 al. 1 let. a CPP, la détention provisoire ou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w:t>
      </w:r>
    </w:p>
    <w:p>
      <w:r>
        <w:rPr>
          <w:b/>
        </w:rPr>
        <w:t>E. 4.3</w:t>
      </w:r>
    </w:p>
    <w:p>
      <w:r>
        <w:t>En l’espèce, même si le recourant, de nationalité turque, vit en Suisse au bénéfice d’un permis d’établissement, il a de solides attaches avec son pays d’origine, dans lequel il a encore de la famille, dispose de plusieurs comptes en banque, où il retourne très régulièrement et où il a même envisagé de s’établir à nouveau. S’il partage certes un appartement à Zurich avec sa compagne, ses attaches avec la Suisse semblent s’arrêter là, le recourant n’ayant en particulier aucun emploi dans ce pays, où il vit de l’aide sociale depuis plusieurs années. A cet égard, il y a lieu de relever que seul son signalement au RIPOL a permis son arrestation à l’aéroport de Zurich, à son retour de Turquie. Par ailleurs, le fait qu’il n’ait pas quitté définitivement la Suisse jusqu’à présent ne permet pas de retenir, contrairement à ce qu’il soutient, qu’il n’existerait pas un risque</w:t>
      </w:r>
    </w:p>
    <w:p>
      <w:r>
        <w:t>- 8 - de fuite concret. S’il a pu avoir connaissance de l’audition de X.________ en 2019, il ignorait en effet l’existence et l’ampleur de l’enquête pénale ouverte à son encontre jusqu’à son arrestation au mois de janvier 2022. La manière dont il s’est comporté précédemment n’est donc pas déterminante. Ainsi, au regard des charges qui pèsent contre lui et de la peine à laquelle il s’expose, le risque qu’il prenne la fuite pour se rendre en Turquie ou qu’il entre dans la clandestinité pour échapper à la procédure pénale ouverte à son encontre est important. Partant, c’est à raison que le Tribunal des mesures de contrainte a considéré que le risque de fuite était concret.</w:t>
      </w:r>
    </w:p>
    <w:p>
      <w:r>
        <w:rPr>
          <w:b/>
        </w:rPr>
        <w:t>E. 5.1</w:t>
      </w:r>
    </w:p>
    <w:p>
      <w:r>
        <w:t>Le recourant soutient, dans sa conclusion subsidiaire, qu’une mesure de substitution à forme du maintien de son passeport en mains de la direction de la procédure permettrait d’écarter le risque de fuite retenu.</w:t>
      </w:r>
    </w:p>
    <w:p>
      <w:r>
        <w:rPr>
          <w:b/>
        </w:rPr>
        <w:t>E. 5.2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w:t>
      </w:r>
    </w:p>
    <w:p>
      <w:r>
        <w:t>- 9 -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w:t>
      </w:r>
    </w:p>
    <w:p>
      <w:r>
        <w:rPr>
          <w:b/>
        </w:rPr>
        <w:t>E. 5.3</w:t>
      </w:r>
    </w:p>
    <w:p>
      <w:r>
        <w:t>La Chambre de céans considère, à l’instar du premier juge, que la mesure de substitution proposée par le recourant n’est pas susceptible de prévenir efficacement les risques constatés et qu’aucune autre mesure n’est à même de les pallier valablement. S’agissant du risque de fuite, compte tenu de la probabilité que le recourant cherche à se soustraire à la justice, il faut considérer, avec la jurisprudence constante du Tribunal fédéral, que le dépôt de ses documents d'identité, même assorti d’une assignation à résidence combinée avec une mesure de surveillance électronique, n’est pas de nature à prévenir un départ à l'étranger ou une entrée dans la clandestinité, mais uniquement à le constater a posteriori (TF 1B_66/2022 du 28 février 2022 consid. 4.1 ; TF 1B_158/2021 du 20 avril 2021 consid. 3.5 ; TF 1B_220/2020 du 26 mai 2020 consid. 5.2 ; cf. également ATF 145 IV 503 consid. 3.3.1). Quant au risque de collusion, la Chambre de céans ne distingue à ce stade aucune mesure propre à l’écarter et le recourant n’en propose au demeurant aucune. Compte tenu de ce qui précède, la mesure de substitution proposée par le recourant n’apparaît pas apte à prévenir efficacement les risques retenus et la Chambre de céans ne voit pas d’autre mesure de substitution susceptible de constituer une garantie suffisante à ce stade.</w:t>
      </w:r>
    </w:p>
    <w:p>
      <w:r>
        <w:t>- 10 - Pour le surplus, le recourant s’expose concrètement, au regard des faits qui lui sont reprochés, à une peine d’une durée nettement supérieure à la période de détention provisoire qu’il a subie à ce jour, respectivement qu’il aura subie le 27 juin 2022, de sorte que le principe de la proportionnalité demeure pleinement respecté (art. 212 al. 3 CPP ; ATF 143 IV 168 consid. 5.1). En effet, l’art. 22 LEsp prévoit que l’infraction grave est réprimée par une peine privative de liberté de cinq ans au plus (al. 2), tandis que l’infraction simple l’est par une peine privative de liberté de trois ans au plus ou par une peine pécuniaire (al. 1).</w:t>
      </w:r>
    </w:p>
    <w:p>
      <w:r>
        <w:rPr>
          <w:b/>
        </w:rPr>
        <w:t>E. 6</w:t>
      </w:r>
    </w:p>
    <w:p>
      <w:r>
        <w:t>Il résulte de ce qui précède que le recours, manifestement mal fondé, doit être rejeté sans échange d’écritures (art. 390 al. 2 CPP) et l’ordonnance entreprise confirmée. Compte tenu de la nature de l’affaire et de l’acte de recours déposé, l’indemnité allouée au défenseur d’office de G.________ sera fixée à 360 fr., correspondant à une activité nécessaire d’avocat de deux heures au tarif horaire de 180 fr., montant auquel il convient d’ajouter des débours forfaitaires à concurrence de 2 % (art. 3bis al. 1 RAJ [règlement du</w:t>
      </w:r>
    </w:p>
    <w:p>
      <w:r>
        <w:rPr>
          <w:b/>
        </w:rPr>
        <w:t>E. 7</w:t>
      </w:r>
    </w:p>
    <w:p>
      <w:r>
        <w:t>décembre 2010 sur l'assistance judiciaire en matière civile ; BLV 211.02.3], applicable par renvoi de l’art. 26b TFIP [tarif des frais de procédure et indemnités en matière pénale du 28 septembre 2010 ; BLV 312.03.1]), par 7 fr. 20, plus la TVA au taux de 7,7 %, par 28 fr. 25, soit à 396 fr. au total en chiffres arrondis. Vu le sort du recours, les frais de la procédure, constitués en l’espèce de l’émolument d'arrêt, par 1’100 fr. (art. 20 al. 1 TFIP), et des frais imputables à la défense d’office de G.________ (art. 422 al. 1 et 2 let. a CPP), fixés à 396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- 11 - Par ces motifs, la Chambre des recours pénale prononce : I. Le recours est rejeté. II. L’ordonnance du 24 mars 2022 est confirmée. III. L’indemnité allouée au défenseur d’office de G.________ est fixée à 396 fr. (trois cent nonante-six francs). IV. Les frais d’arrêt, par 1’100 fr. (mille cent francs), ainsi que l’indemnité due au défenseur d’office du recourant, par 396 fr. (trois cent nonante-six francs), sont mis à la charge de G.________. V. Le remboursement à l’Etat de l’indemnité allouée au chiffre III ci-dessus ne sera exigible que pour autant que la situation financière de G.________ le permette. VI. L’arrêt est exécutoire. La présidente : La greffière : Du Le présent arrêt, dont la rédaction a été approuvée à huis clos, est notifié, par l'envoi d'une copie complète, à : - Me Gaëtan-Charles Barraud, avocat (pour G.________), - Ministère public central,</w:t>
      </w:r>
    </w:p>
    <w:p>
      <w:r>
        <w:t>- 12 - et communiqué à : - Mme la Présidente du Tribunal des mesures de contrainte,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