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PE19.013314 vom 4. September 2019</w:t>
      </w:r>
    </w:p>
    <w:p>
      <w:r>
        <w:t>VD Tribunal cantonal, 2019-09-04, FR</w:t>
      </w:r>
    </w:p>
    <w:p>
      <w:r>
        <w:rPr>
          <w:b/>
        </w:rPr>
        <w:t xml:space="preserve">Quelle: </w:t>
      </w:r>
      <w:r>
        <w:t>https://mcp.opencaselaw.ch/entscheid/vd_gerichte_PE19.013314</w:t>
      </w:r>
    </w:p>
    <w:p>
      <w:r>
        <w:t>FR: VD_GERICHTE PE19.013314 du 4 septembre 2019</w:t>
      </w:r>
    </w:p>
    <w:p>
      <w:r>
        <w:t>IT: VD_GERICHTE PE19.013314 del 4 settembre 2019</w:t>
      </w:r>
    </w:p>
    <w:p>
      <w:pPr>
        <w:pStyle w:val="Heading2"/>
      </w:pPr>
      <w:r>
        <w:t>Erwägungen</w:t>
      </w:r>
    </w:p>
    <w:p>
      <w:r>
        <w:rPr>
          <w:b/>
        </w:rPr>
        <w:t>E. 1</w:t>
      </w:r>
    </w:p>
    <w:p>
      <w:r>
        <w:t>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vaudoise d’introduction du Code de procédure pénale suisse du 19 mai 2009 ; BLV 312.01] ; art. 80 LOJV [Loi vaudoise d’organisation judiciaire du 12 décembre 1979 ; BLV 173.01]). Interjeté en temps utile et dans les formes prescrites (art. 385 al. 1 CPP) auprès de l’autorité compétente, par la partie plaignante qui a qualité pour recourir (art. 382 al. 1 CPP), le recours est recevable.</w:t>
      </w:r>
    </w:p>
    <w:p>
      <w:r>
        <w:rPr>
          <w:b/>
        </w:rPr>
        <w:t>E. 2</w:t>
      </w:r>
    </w:p>
    <w:p>
      <w:r>
        <w:t>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L’entrée en matière peut encore être refusée au terme des investigations policières (art. 306 et 307 CPP) – même diligentées à l'initiative du Procureur –, si les conditions de l’art. 310 al. 1 let. a CPP sont réunies (TF 6B_427/2017 du 15 novembre 2017 consid. 2.1).</w:t>
      </w:r>
    </w:p>
    <w:p>
      <w:r>
        <w:t>- 4 - Selon cette disposition, il importe donc que les éléments constitutifs de l'infraction ne soient manifestement pas réunis.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Invoquant une violation du principe in dubio pro duriore, le recourant reproche à la Procureure d’avoir considéré que les éléments constitutifs de l’escroquerie n’étaient pas réalisés, plus particulièrement la tromperie et l’astuce. Il fait valoir que l’astuce aurait précisément consisté à l’inciter à conclure le contrat litigieux et indique qu’Z.________ se serait présenté à cet effet comme le CEO (ndr : chief executive officer) d’une entité prometteuse, soit la société K.________ Sàrl, qui était censée bénéficier des appuis techniques et financiers de l’I.________, sur le site de laquelle elle était basée. Il soutient qu’afin d’asseoir sa crédibilité, Z.________ aurait mis en avant ses liens soi-disant privilégiés avec une étude d’avocats spécialisée dans les technologies de pointe, soit l’étude A.________ avocats Sàrl, et relève que A.F.________, qui est issu d’une famille très fortunée, serait une personne connue et importante dans le milieu financier, ce qui aurait été sécurisant. Il soutient qu’Z.________, A.F.________ et B.F.________ auraient usé d’astuce en mettant en avant leurs compétences professionnelles et de prétendus accords avec l’I.________ en vue de l’inciter à signer un contrat qu’ils auraient ensuite</w:t>
      </w:r>
    </w:p>
    <w:p>
      <w:r>
        <w:t>- 5 - tenté de faire invalider, ceci dans le but d’étudier des marchés nouveaux à ses frais.</w:t>
      </w:r>
    </w:p>
    <w:p>
      <w:r>
        <w:rPr>
          <w:b/>
        </w:rPr>
        <w:t>E. 3.2</w:t>
      </w:r>
    </w:p>
    <w:p>
      <w:r>
        <w:t>Aux termes de l'art. 146 al. 1 CP (Code pénal suisse du 21 décembre 1937 ; RS 311.0),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et aura de la sorte déterminé la victime à des actes préjudiciables à ses intérêts pécuniaires ou à ceux d'un tiers. Par tromperie, il faut entendre tout comportement destiné à faire naître chez autrui une représentation erronée des faits, qui divergent de la réalité (ATF 140 IV 11 consid. 2.3.2 ; ATF 135 IV 76 consid. 5.1). La tromperie peut être réalisée non seulement par l'affirmation d'un fait faux, mais également par la dissimulation (par commission ou omission improprement dite) d'un fait vrai (ATF 140 IV 206 consid. 6.3.1.2). La tromperie peut consister en un comportement explicite ou être réalisée par actes concluants (ATF 140 IV 11 précité ; ATF 127 IV 163 consid. 3b). Une simple tromperie ne suffit toutefois pas. Encore faut-il qu'elle puisse être qualifiée d'astucieuse. Il y a tromperie astucieuse, au sens de l’art. 146 CP, lorsque l'auteur recourt à un édifice de mensonges, à des manœuvres frauduleuses ou à une mise en scène, mais aussi lorsqu'il donne simplement de fausses informations, si leur vérification n'est pas possible, ne l'est que difficilement ou ne peut raisonnablement être exigée, de même que si l'auteur dissuade la dupe de vérifier ou prévoit, en fonction des circonstances, qu'elle renoncera à le faire en raison d'un rapport de confiance particulier (ATF 142 IV 153 consid. 2.2.2 ; ATF 135 IV 76 consid. 5.2). Tel est notamment le cas si l'auteur conclut un contrat en ayant d'emblée l'intention de ne pas fournir sa prestation alors que son intention n'était pas décelable (ATF 142 IV précité ; ATF 118 IV 359 consid. 2), s'il exploite un rapport de confiance préexistant qui dissuade la dupe de vérifier (ATF 122 IV 246 consid. 3a) ou encore si la</w:t>
      </w:r>
    </w:p>
    <w:p>
      <w:r>
        <w:t>- 6 - dupe, en raison de sa situation personnelle (faiblesse d'esprit, inexpérience, grand âge ou maladie), n'est pas en mesure de procéder à une vérification et que l'auteur exploite cette situation (ATF 120 IV 186 consid. 1a, JdT 1996 IV 13). L’erreur de la dupe provoquée par la tromperie astucieuse doit l’avoir déterminée à effectuer des actes (ou omissions) préjudiciables à ses intérêts pécuniaires ou à ceux d’un tiers. Il doit ainsi exister un rapport de causalité entre la tromperie astucieuse et l’erreur (sauf en cas d’erreur préexistante dans laquelle la dupe a été confortée), entre l’erreur et l’acte de disposition et, enfin, entre ce dernier et un dommage (ATF 128 IV 256 consid. 2e ; ATF 115 IV 32 consid. 3a ; Corboz, Les infractions en droit suisse, vol. I, 3e éd., Berne 2010, nn. 31 et 38 ad art. 146 CP ; Dupuis et al., Petit Commentaire du Code pénal, 2e éd., Bâle 2017, n. 32 ad art. 146 CP).</w:t>
      </w:r>
    </w:p>
    <w:p>
      <w:r>
        <w:rPr>
          <w:b/>
        </w:rPr>
        <w:t>E. 3.3</w:t>
      </w:r>
    </w:p>
    <w:p>
      <w:r>
        <w:t>En l’espèce, force est de constater, à l’instar du Ministère public, que les faits dénoncés ne sont pas constitutifs d’escroquerie. En préambule, il y a lieu de relever que le recourant a expliqué avoir été mis en relation par l’intermédiaire de son fils, au début de l’année 2018, avec B.F.________, A.F.________ et Z.________, lesquels lui auraient fait miroiter les énormes possibilités de développement d’un fonds d’investissement basé sur un logiciel prédictif capable d’analyser les risques des marchés financiers et de sa mise à disposition d’autres opérateurs financiers. C’est suite à de nombreux échanges, lors desquels Z.________ aurait mis en avant le fait que sa société était prometteuse et bénéficiait de l’appui de l’I.________ et de liens privilégiés avec l’étude d’avocats A.________, que A.P.________ a signé, le 9 mai 2018, le contrat litigieux avec K.________ Sàrl. S’agissant d’B.F.________ et de son père A.F.________, qui devaient assister le recourant, en exécution du contrat précité, pour mettre en place un compte, puis créer et commercialiser un fonds de placement structuré, la Cour de céans ne distingue pas le moindre</w:t>
      </w:r>
    </w:p>
    <w:p>
      <w:r>
        <w:t>- 7 - élément permettant de retenir qu’ils auraient trompé le recourant ou fait preuve d’astuce. En effet, le fait d’être riches et influents n’est pas constitutif d’une escroquerie, quand bien même leur association à Z.________ ait pu être sécurisante pour le recourant. Par ailleurs, s’agissant des liens soi-disant privilégiés qu’aurait Z.________ avec une étude d’avocats, la Cour de céans voit mal, et le recourant ne le dit pas, dans quelle mesure ceux-ci auraient pu amener A.P.________ à conclure le contrat litigieux. Au demeurant, il convient de relever que l’étude A.________ Sàrl s’occupe effectivement des intérêts de la société K.________ Sàrl et d’Z.________, de sorte qu’on ne discerne pas de tromperie. Enfin, le recourant reproche à Z.________ d’avoir fait état de ses liens avec l’I.________, gage d’expertise et de moralité. Or, force est de constater que ces liens existent bel et bien. En effet, le site Internet de l’« [...]» de l’I.________ mentionne la société K.________ parmi les 170 sociétés faisant partie du complexe et donne des renseignements à son sujet. A l’appui de son grief, le recourant se réfère à une pièce présentant l’étude d’avocats A.________, ce qui n’étaye en rien ses arguments. Au demeurant, la Cour de céans ne discerne pas en quoi le fait, pour Z.________, d’avoir vanté les mérites de sa société constituerait en soi une tromperie astucieuse. Au vu de ce qui précède, l’appréciation du Ministère public, selon laquelle aucun élément concret permettant de fonder des soupçons justifiant l’ouverture d’une instruction pénale contre Z.________, A.F.________ et B.F.________ pour avoir incité A.P.________ à conclure un contrat sans qu’Z.________ ait eu l’intention de le faire exécuter par K.________ Sàrl, ne prête pas le flanc à la critique et les griefs soulevés par le recourant à cet égard sont inconsistants. Partant, c’est à juste titre que le Ministère public n’est pas entré en matière sur la plainte du recourant, le litige divisant les parties étant d’ordre purement civil.</w:t>
      </w:r>
    </w:p>
    <w:p>
      <w:r>
        <w:t>- 8 -</w:t>
      </w:r>
    </w:p>
    <w:p>
      <w:r>
        <w:rPr>
          <w:b/>
        </w:rPr>
        <w:t>E. 4</w:t>
      </w:r>
    </w:p>
    <w:p>
      <w:r>
        <w:t>En définitive, le recours, manifestement mal fondé, doit être rejeté sans échange d’écritures (art. 390 al. 2 CPP) et l’ordonnance attaquée confirmée. Les frais de la procédure de recours, constitués en l’espèce du seul émolument d'arrêt (art. 422 al. 1 CPP), par 770 fr. (art. 20 al. 1 TFIP [Tarif des frais de procédure et indemnités en matière pénale du 28 septembre 2010 ; BLV 312.03.1]), seront mis à la charge du recourant, qui succombe (art. 428 al. 1 CPP). Par ces motifs, la Chambre des recours pénale prononce : I. Le recours est rejeté. II. L’ordonnance du 6 août 2019 est confirmée. III. Les frais d’arrêt, par 770 fr. (sept cent septante francs), sont mis à la charge de A.P.________. IV. L’arrêt est exécutoire. Le président : La greffière : Du Le présent arrêt, dont la rédaction a été approuvée à huis clos, est notifié, par l'envoi d'une copie complète, à : - Me Alain Dubuis, avocat (pour A.P.________), - Ministère public central,</w:t>
      </w:r>
    </w:p>
    <w:p>
      <w:r>
        <w:t>- 9 - et communiqué à : - Mme la Procureure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