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PE19.013070 vom 19. Januar 2022</w:t>
      </w:r>
    </w:p>
    <w:p>
      <w:r>
        <w:t>VD Tribunal cantonal, 2022-01-19, FR</w:t>
      </w:r>
    </w:p>
    <w:p>
      <w:r>
        <w:rPr>
          <w:b/>
        </w:rPr>
        <w:t xml:space="preserve">Quelle: </w:t>
      </w:r>
      <w:r>
        <w:t>https://mcp.opencaselaw.ch/entscheid/vd_gerichte_PE19.013070</w:t>
      </w:r>
    </w:p>
    <w:p>
      <w:r>
        <w:t>FR: VD_GERICHTE PE19.013070 du 19 janvier 2022</w:t>
      </w:r>
    </w:p>
    <w:p>
      <w:r>
        <w:t>IT: VD_GERICHTE PE19.013070 del 19 gennaio 2022</w:t>
      </w:r>
    </w:p>
    <w:p>
      <w:pPr>
        <w:pStyle w:val="Heading2"/>
      </w:pPr>
      <w:r>
        <w:t>Erwägungen</w:t>
      </w:r>
    </w:p>
    <w:p>
      <w:r>
        <w:rPr>
          <w:b/>
        </w:rPr>
        <w:t>E. 4</w:t>
      </w:r>
    </w:p>
    <w:p>
      <w:r>
        <w:t>L’appelante, qui conclut à son acquittement, ne conteste pas la peine en tant que telle. Celle-ci doit toutefois être vérifiée d’office.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4.2</w:t>
      </w:r>
    </w:p>
    <w:p>
      <w:r>
        <w:t>Aux termes de l'art. 49 CP, si, en raison d'un ou de plusieurs actes, l'auteur remplit les conditions de plusieurs peines de même genre, le juge le condamne à la peine de l'infraction la plus grave et l'augmente</w:t>
      </w:r>
    </w:p>
    <w:p>
      <w:r>
        <w:t>- 11 -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t>- 12 -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rPr>
          <w:b/>
        </w:rPr>
        <w:t>E. 4.3</w:t>
      </w:r>
    </w:p>
    <w:p>
      <w:r>
        <w:t>En l’espèce, la culpabilité de l’appelante n’est pas légère. Comme l’a retenu le premier juge, les accusations portées contre J.________ sont très graves. En outre, l’appelante ne fait preuve d’aucune remise en question puisqu’elle persiste à soutenir avoir subi des actes sexuels contraints. Il n’y a aucun élément à décharge, l’absence d’antécédents étant sans pertinence s’agissant d’une personne qui séjournait en Suisse depuis très peu de temps au moment des faits. Comme l’a retenu le premier juge, une peine pécuniaire suffit à réprimer le comportement de L.________. L’intéressée a par ailleurs déjà été condamnée le 5 octobre 2020 à une peine du même genre, à savoir à une peine pécuniaire de 30 jours-amende à 30 fr. le jour pour infraction à l’ordonnance 2 sur les mesures destinées à lutter contre le coronavirus. Les faits de la présente cause, commis les 3 juillet et 8 août 2019, sont donc antérieurs à cette condamnation si bien qu’ils sont en concours et qu’une peine entièrement complémentaire doit être prononcée. Cela étant, si le premier juge avait eu à juger à la fois des faits constitutifs de l’infraction de dénonciation calomnieuse et de ceux relevant de l’ordonnance 2 sur les mesures destinées à lutter contre le coronavirus, il aurait dû considérer que la première était la plus grave au regard de la gravité des accusations portées contre une personne innocente. En l’occurrence, considérant la culpabilité de l’appelante et le fait qu’elle ne doit pas être punie plus sévèrement que si elle avait fait l’objet d’un seul jugement, la peine pécuniaire complémentaire de 90 jours-amende</w:t>
      </w:r>
    </w:p>
    <w:p>
      <w:r>
        <w:t>- 13 - prononcée par le premier juge dans le cadre de la présente procédure est adéquate et doit être confirmée, de même que le montant du jour-amende fixé à 30 fr., lequel tient compte de la situation personnelle et financière de l’intéressée. Par ailleurs, les conditions objectives et subjectives d’octroi du sursis sont remplies.</w:t>
      </w:r>
    </w:p>
    <w:p>
      <w:r>
        <w:rPr>
          <w:b/>
        </w:rPr>
        <w:t>E. 5</w:t>
      </w:r>
    </w:p>
    <w:p>
      <w:r>
        <w:t>En définitive, l’appel doit être rejeté et le jugement entrepris confirmé. Me Martin Brechbühl, défenseur d’office, a produit une liste d'opérations, dont il n’y a pas lieu de s’écarter, indiquant 7 heures d'activité.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1’260 fr., auxquels s’ajoutent des débours forfaitaires de 2 % (art. 26b TFIP qui renvoie à l'art. 3bis RAJ [règlement sur l’assistance judiciaire en matière civile du 7 décembre 2010 ; BLV 211.02.3]), par 25 fr. 20, et la TVA sur le tout, au taux de 7,7%, par 99 francs. L’indemnité due pour la procédure d’appel sera dès lors fixée à 1’384 francs. Vu l’issue de la cause, les frais de la procédure d’appel, par 2’704 fr., constitués de l’émolument de jugement, par 1’320 fr. (art. 21 al. 1 TFIP), et de l’indemnité due au défenseur d’office, par 1’384 fr., seront mis à la charge de L.________ (art. 428 al. 1 CPP). L’appelante ne sera toutefois tenue de rembourser à l’Etat le montant de l’indemnité en faveur de son défenseur d’office que lorsque sa situation financière le permettra (art. 135 al. 4 let. a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