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PE19.012662 vom 19. Dezember 2019</w:t>
      </w:r>
    </w:p>
    <w:p>
      <w:r>
        <w:t>VD Tribunal cantonal, 2019-12-19, FR</w:t>
      </w:r>
    </w:p>
    <w:p>
      <w:r>
        <w:rPr>
          <w:b/>
        </w:rPr>
        <w:t xml:space="preserve">Quelle: </w:t>
      </w:r>
      <w:r>
        <w:t>https://mcp.opencaselaw.ch/entscheid/vd_gerichte_PE19.012662</w:t>
      </w:r>
    </w:p>
    <w:p>
      <w:r>
        <w:t>FR: VD_GERICHTE PE19.012662 du 19 décembre 2019</w:t>
      </w:r>
    </w:p>
    <w:p>
      <w:r>
        <w:t>IT: VD_GERICHTE PE19.012662 del 19 dicembre 2019</w:t>
      </w:r>
    </w:p>
    <w:p>
      <w:pPr>
        <w:pStyle w:val="Heading2"/>
      </w:pPr>
      <w:r>
        <w:t>Erwägungen</w:t>
      </w:r>
    </w:p>
    <w:p>
      <w:r>
        <w:rPr>
          <w:b/>
        </w:rPr>
        <w:t>E. 1</w:t>
      </w:r>
    </w:p>
    <w:p>
      <w:r>
        <w:t>Interjeté dans les formes et délais légaux (art. 385 al. 1 et 396 al. 1 CPP [Code de procédure pénale suisse du 5 octobre 2007; RS 312.0]) par une partie ayant qualité pour recourir (art. 382 al. 1 CPP) contre un prononcé ou un acte de procédure visé par l’art. 393 al. 1 CPP, le recours est recevable.</w:t>
      </w:r>
    </w:p>
    <w:p>
      <w:r>
        <w:rPr>
          <w:b/>
        </w:rPr>
        <w:t>E. 2</w:t>
      </w:r>
    </w:p>
    <w:p>
      <w:r>
        <w:t>Conformément à l'art. 310 al. 1 let. a CPP, le ministère public rend immédiatement – c'est-à-dire sans qu'une instruction soit ouverte (art. 309 al. 1 et 4 CPP; TF 1B_111/2012 du 5 avril 2012 consid. 2.1; Grodecki/Cornu, in : Jeanneret/ Kuhn/Perrrier Depeursinge [éd.], Code de procédure pénale suisse, Commentaire romand, 2e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w:t>
      </w:r>
    </w:p>
    <w:p>
      <w:r>
        <w:t>- 4 - apporter la preuve d’une infraction à la charge d’une personne déterminée (TF 6B_541/2017 du 20 décembre 2017 consid. 2.2).</w:t>
      </w:r>
    </w:p>
    <w:p>
      <w:r>
        <w:t>- 5 -</w:t>
      </w:r>
    </w:p>
    <w:p>
      <w:r>
        <w:rPr>
          <w:b/>
        </w:rPr>
        <w:t>E. 3.1</w:t>
      </w:r>
    </w:p>
    <w:p>
      <w:r>
        <w:t>La recourante fait valoir en substance que B.________ et la coiffeuse du salon n’ont pas respecté le protocole d’application du produit capillaire utilisé.</w:t>
      </w:r>
    </w:p>
    <w:p>
      <w:r>
        <w:rPr>
          <w:b/>
        </w:rPr>
        <w:t>E. 3.2.1</w:t>
      </w:r>
    </w:p>
    <w:p>
      <w:r>
        <w:t>Selon l’art. 125 CP (Code pénal suisse du 21 décembre 1937; RS 311.0),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Les art. 122 ss CP protègent l’intégrité corporelle et la santé, tant physique que psychique (Dupuis/Moreillon/Piguet/Berger/Mazou/Rodigari [éd.], Petit commentaire CP, 2e éd., Bâle 2017, n. 3 ad rem. prél. aux art. 122 à 126 CP, p. 793), ce qui inclut les lésions capillaires.</w:t>
      </w:r>
    </w:p>
    <w:p>
      <w:r>
        <w:rPr>
          <w:b/>
        </w:rPr>
        <w:t>E. 3.2.2</w:t>
      </w:r>
    </w:p>
    <w:p>
      <w:r>
        <w:t>Agit par négligence au sens de l’art. 125 CP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TF 6B_631/2018 du 24 octobre 2018 consid. 1). Pour déterminer le contenu du devoir de prudence, il faut donc</w:t>
      </w:r>
    </w:p>
    <w:p>
      <w:r>
        <w:t>- 6 -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135 IV 56 consid. 2.1 p. 64; 134 IV 255 consid. 4.2.3 p. 262). En second lieu, la violation du devoir de prudence doit être fautive, c'est-à-dire qu'il faut pouvoir reprocher à l'auteur une inattention ou un manque d'effort blâmable (ATF 135 IV 56 consid. 2.1 p. 64; 134 IV 255 consid. 4.2.3 p. 262 et les références citées).</w:t>
      </w:r>
    </w:p>
    <w:p>
      <w:r>
        <w:rPr>
          <w:b/>
        </w:rPr>
        <w:t>E. 3.3</w:t>
      </w:r>
    </w:p>
    <w:p>
      <w:r>
        <w:t>En l’espèce, force est de constater que le dossier ne comporte, en l’état, aucun élément concernant les règles d’application du produit utilisé, les précautions recommandées et la formation des personnes employées à faire usage à titre professionnel de la lotion capillaire. On ignore en outre tout de la manière dont le produit a été administré dans le cas particulier. Dans ces conditions, le Ministère public ne pouvait pas retenir la fatalité sans disposer au dossier ne serait-ce que du mode d’emploi du produit utilisé et des éventuelles précautions que doivent prendre les coiffeurs qui en font usage. Il faut donc à tout le moins administrer ces preuves, tout comme il apparaît indiqué d’entendre B.________ et la coiffeuse concernée.</w:t>
      </w:r>
    </w:p>
    <w:p>
      <w:r>
        <w:rPr>
          <w:b/>
        </w:rPr>
        <w:t>E. 3.4</w:t>
      </w:r>
    </w:p>
    <w:p>
      <w:r>
        <w:t>Ainsi, c’est à tort que le Ministère public a rendu une ordonnance de non-entrée en matière. En l’occurrence, il y a lieu d’ouvrir une instruction pénale et de procéder à toutes les mesures d’investigation utiles dans le sens du considérant qui précède.</w:t>
      </w:r>
    </w:p>
    <w:p>
      <w:r>
        <w:rPr>
          <w:b/>
        </w:rPr>
        <w:t>E. 4</w:t>
      </w:r>
    </w:p>
    <w:p>
      <w:r>
        <w:t>En définitive, le recours doit être admis, l’ordonnance contestée annulée et le dossier de la cause renvoyé au Ministère public de</w:t>
      </w:r>
    </w:p>
    <w:p>
      <w:r>
        <w:t>- 7 - l’arrondissement de l’Est vaudois pour qu’il ouvre une instruction pénale et procède dans le sens des considérants. Les frais de la procédure de recours, constitués en l’espèce du seul émolument d’arrêt (art. 422 al. 1 CPP), par 660 fr. (art. 20 al. 1 TFIP [Tarif des frais de procédure et indemnités en matière pénale du 28 septembre 2010; BLV 312.03.1]), seront laissés à la charge de l’Etat (art. 428 al. 4 CPP). Vu l’issue de la cause, la requête d’assistance judiciaire gratuite pour la procédure de recours est sans objet (cf. CREP 20 novembre 2019/855). Par ces motifs, la Chambre des recours pénale, prononce : I. Le recours est admis. II. L’ordonnance du 14 août 2019 est annulée. III. Le dossier de la cause est renvoyé au Ministère public de l’arrondissement de l’Est vaudois pour qu’il procède dans le sens des considérants. IV. Les frais d’arrêt, par 660 fr. (six cent soixante francs), sont laissés à la charge de l’Etat. V. La requête d’assistance judiciaire gratuite pour la procédure de recours est sans objet. VI. L’arrêt est exécutoire. Le président : Le greffier :</w:t>
      </w:r>
    </w:p>
    <w:p>
      <w:r>
        <w:t>- 8 - Du Le présent arrêt, dont la rédaction a été approuvée à huis clos, est notifié, par l'envoi d'une copie complète, à : - Mme G.________, - Ministère public central, et communiqué à : - Mme la Procureure de l’arrondissement de l’Est vaudois, par l’envoi de photocopies. Le présent arrêt peut faire l'objet d'un recours en matière pénale devant le Tribunal fédéral au sens des art. 78 ss LTF (Loi sur le Tribunal fédéral du 17 juin 2005;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