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PE19.012599 vom 18. Dezember 2020</w:t>
      </w:r>
    </w:p>
    <w:p>
      <w:r>
        <w:t>VD Tribunal cantonal, 2020-12-18, FR</w:t>
      </w:r>
    </w:p>
    <w:p>
      <w:r>
        <w:rPr>
          <w:b/>
        </w:rPr>
        <w:t xml:space="preserve">Quelle: </w:t>
      </w:r>
      <w:r>
        <w:t>https://mcp.opencaselaw.ch/entscheid/vd_gerichte_PE19.012599</w:t>
      </w:r>
    </w:p>
    <w:p>
      <w:r>
        <w:t>FR: VD_GERICHTE PE19.012599 du 18 décembre 2020</w:t>
      </w:r>
    </w:p>
    <w:p>
      <w:r>
        <w:t>IT: VD_GERICHTE PE19.012599 del 18 dicembre 2020</w:t>
      </w:r>
    </w:p>
    <w:p>
      <w:pPr>
        <w:pStyle w:val="Heading2"/>
      </w:pPr>
      <w:r>
        <w:t>Erwägungen</w:t>
      </w:r>
    </w:p>
    <w:p>
      <w:r>
        <w:rPr>
          <w:b/>
        </w:rPr>
        <w:t>E. 1.1</w:t>
      </w:r>
    </w:p>
    <w:p>
      <w:r>
        <w:t>Les parties peuvent attaquer une ordonnance de non-entrée en matière rendue par le Ministère public (art. 310 CPP [Code de</w:t>
      </w:r>
    </w:p>
    <w:p>
      <w:r>
        <w:t>- 5 -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la recourante se dit victime de vol (art. 139 CP) et de gestion déloyale (158 CP). On comprend, sur la base de ses explications, qu'elle entend obtenir réparation d'un dommage, sous la forme d'un manque à gagner en relation avec la baisse de son chiffre d’affaires, qu'elle soutient découler des infractions dont elle se plaint. La recourante fait donc valoir un intérêt juridiquement protégé qui justifie d'entrer en matière sur le recours. Interjeté dans le délai légal et dans les formes prescrites (art. 385 al. 1 CPP) auprès de l’autorité compétente, par la partie plaignante qui a qualité pour recourir (art. 382 al. 1 CPP), le recours est recevable.</w:t>
      </w:r>
    </w:p>
    <w:p>
      <w:r>
        <w:rPr>
          <w:b/>
        </w:rPr>
        <w:t>E. 2</w:t>
      </w:r>
    </w:p>
    <w:p>
      <w:r>
        <w:t>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6B_810/2019 du 22 juillet 2019 consid. 2.1 ; TF 6B_239/2019 du 24 avril 2019 consid. 2.1 ; TF 6B_1096/2018 du 25 janvier 2019 consid. 2.2 ; TF 6B_496/2018 du 6 septembre 2018 consid. 1.3).</w:t>
      </w:r>
    </w:p>
    <w:p>
      <w:r>
        <w:t>- 7 - Avant l'ouverture d'une instruction, le droit de participer à l'administration des preuves ne s'applique en principe pas (art. 147 al. 1 CPP a contrario ; ATF 143 IV 397 consid. 3.3.2 i.f. p. 403 ; ATF 140 IV 172 consid. 1.2.2 p. 175), et ce y compris en cas d'investigations policières diligentées à titre de complément d'enquête requis par le Ministère public en vertu de l'art. 309 al. 2 CPP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6B_673/2019 du 31 octobre 2019 consid. 2.2 ; TF 6B_810/2019 du 22 juillet 2019 consid.</w:t>
      </w:r>
    </w:p>
    <w:p>
      <w:r>
        <w:rPr>
          <w:b/>
        </w:rPr>
        <w:t>E. 2.1</w:t>
      </w:r>
    </w:p>
    <w:p>
      <w:r>
        <w:t>; TF 6B_239/2019 du 24 avril 2019 consid. 2.1 ; TF 6B_1096/2018 du 25 janvier 2019 consid. 2.2). L'instruction pénale est considérée comme ouverte dès que le Ministère public commence à s'occuper de l'affaire, ce qui est toujours le cas lorsqu’il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 p. 24 s.).</w:t>
      </w:r>
    </w:p>
    <w:p>
      <w:r>
        <w:rPr>
          <w:b/>
        </w:rPr>
        <w:t>E. 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w:t>
      </w:r>
    </w:p>
    <w:p>
      <w:r>
        <w:t>- 6 -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et 307 al. 2 CPP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6B_940/2016 du 6 juillet 2017 consid. 3.3.2 et les références citées). En revanche, le Ministère public ne peut pas rendre une ordonnance de non- entrée en matière après avoir ouvert une instruction au sens de l'art. 309 CPP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w:t>
      </w:r>
    </w:p>
    <w:p>
      <w:r>
        <w:rPr>
          <w:b/>
        </w:rPr>
        <w:t>E. 2.3</w:t>
      </w:r>
    </w:p>
    <w:p>
      <w:r>
        <w:t>Il ressort du procès-verbal des opérations que la plainte déposée par la recourante a été reçue le 25 juin 2019. Le Ministère public a ensuite adressé à la police de sûreté une demande d’enquête « avant ouverture d’instruction » en date du 28 juin 2019. En janvier 2020, sur interpellation de la recourante, le Ministère public a relancé les enquêteurs qui l’ont entendue le 5 février 2020, puis W.________ le 13 juillet 2020. La police de sûreté a établi un rapport d’investigation daté du 11 août 2020. Le 29 septembre 2020, le Ministère public a encore demandé à la police</w:t>
      </w:r>
    </w:p>
    <w:p>
      <w:r>
        <w:t>- 8 - de sureté de procéder à un complément d’enquête par l’analyse de tickets de caisse et des opérations d’annulation correspondantes, avant de rendre finalement l’ordonnance de non-entrée en matière contestée en date du 4 novembre 2020. Ainsi, avant l’ordonnance de non-entrée en matière litigieuse, les opérations effectuées dans la présente procédure se résument à l’audition, par la police, de la recourante, comme partie plaignante, et de celle de son ex-employé entendu comme prévenu, au dépôt d’un bref rapport d’investigation et de l’examen complémentaire d’un relevé de caisse pour la journée du 27 janvier 2016 qui ne montre rien d’autre que des corrections pour des erreurs de frappe au moment de l’enregistrement du prix du produit vendu. Ces opérations d’enquête ne sauraient impliquer à elles seules une ouverture d’instruction, en particulier pour ce qui concerne l’audition de W.________ par la police (TF 6B_239/2019 du 24 avril 2019 consid. 2.3 et 2.4). Les opérations effectuées correspondent à ce qui est attendu de la police au stade des toutes premières investigations. Aucune décision formelle d'ouverture d'une instruction n'a été prise par le Ministère public avec la mention du prévenu et des infractions qui lui seraient imputées, comme le prévoit l'art. 309 al. 3 CPP. Aucune mesure de contrainte n'a été ordonnée. Rien ne laisse supposer que l’instruction avait été matériellement ouverte à ce stade et la procédure n’avait donc pas dépassé les premières investigations qui sont accomplies de manière usuelle par la police, y compris dans le cadre d'une demande de complément d'enquête (art. 309 al. 2 CPP). L’audition de W.________ pouvait dès lors être effectuée en l’absence de la partie plaignante, à savoir la recourante. Avant de rendre son ordonnance de non-entrée en matière, le droit d'être entendu n’imposait pas non plus au Ministère public d'aviser la recourante des opérations de police réalisées et de recueillir ses déterminations. Il découle de ce qui précède que la recourante ne disposait pas d'un droit à participer à l'administration des preuves. La recourante a eu connaissance des déclarations de W.________ dans l'ordonnance de non- entrée en matière et elle a eu la possibilité de se déterminer sur celles-ci</w:t>
      </w:r>
    </w:p>
    <w:p>
      <w:r>
        <w:t>- 9 - durant la procédure de recours, l’autorité de céans disposant d’une pleine cognition en fait et en droit pour examiner tous les griefs qu’elle entendait invoquer. Son droit d'être entendu a été respecté et le moyen tiré de sa violation doit par conséquent être rejeté.</w:t>
      </w:r>
    </w:p>
    <w:p>
      <w:r>
        <w:rPr>
          <w:b/>
        </w:rPr>
        <w:t>E. 3.1</w:t>
      </w:r>
    </w:p>
    <w:p>
      <w:r>
        <w:t>La recourante fait ensuite valoir la violation du principe in dubio pro duriore. Elle soutient que les deux rapports établis par sa fiduciaire ainsi que ses déclarations aux enquêteurs démontreraient que la baisse des marges de son commerce serait le résultat du comportement de son ex-employé qui rencontrait, selon elle, des problèmes financiers à l’époque des faits.</w:t>
      </w:r>
    </w:p>
    <w:p>
      <w:r>
        <w:rPr>
          <w:b/>
        </w:rPr>
        <w:t>E. 3.2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w:t>
      </w:r>
    </w:p>
    <w:p>
      <w:r>
        <w:t>- 10 - de compte. En règle générale, dans le doute, il convient d'ouvrir une enquête pénale (ATF 143 IV 241 consid. 2.2.1 ;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rPr>
          <w:b/>
        </w:rPr>
        <w:t>E. 3.3</w:t>
      </w:r>
    </w:p>
    <w:p>
      <w:r>
        <w:t>A la différence des situations jugées par le Tribunal fédéral dans les affaires citées par la recourante, les faits dénoncés concernent des infractions contre le patrimoine, infractions pour l’établissement desquelles l’existence de preuves matérielles revêt une importance primordiale, les déclarations des parties jouant un rôle secondaire dans ce contexte. En l’espèce, les faits s’inscrivent dans le cadre de la gestion d’un commerce, ce qui nécessite en premier lieu l’examen de la comptabilité, soit des pièces comptables constituées à cette fin, comme les décomptes de caisse, les relevés bancaires ou encore les inventaires du stock. En l’occurrence, il faut tout d’abord constater que la fiduciaire de la recourante n’a pas été en mesure, sur la base des pièces comptables à sa disposition, d’établir une cause précise à la variation de la marge commerciale de la recourante pour les années précédant le licenciement de W.________ (P. 6/5). Le nombre important d’hypothèses envisagées par cette fiduciaire démontre que la comptabilité tenue par la recourante est manifestement déficiente et que les éléments comptables à disposition sont pour le moins lacunaires. Les considérations en cause sont finalement essentiellement de nature spéculative. En particulier, la fiduciaire met systématiquement hors de cause tout comportement de la recourante sur la base des explications qu’elle a fournies, ce qui révèle l’absence de tout justificatif comptable à même d’établir les éléments en question. Les documents produits par la recourante pour étayer sa plainte ainsi que ses déclarations aux enquêteurs confirment l’état sommaire et lacunaire de la comptabilité de son commerce. Surtout, lors</w:t>
      </w:r>
    </w:p>
    <w:p>
      <w:r>
        <w:t>- 11 - de son audition devant la police le 5 février 2020, la recourante a notamment indiqué ne pas disposer d’inventaire pour établir la valeur de son stock pour l’année 2016. Elle a également déclaré qu’elle ne tenait pas d’inventaire de caisse journalier pour son commerce et qu’elle effectuait parfois des prélèvements directement dans la caisse pour ses besoins personnels (PV aud. 1, R. 6). Il apparaît ainsi que des prélèvements sans justificatifs étaient effectués dans la caisse du commerce dont aucun décompte journalier n’était tenu. Dans ces conditions, et sans même se fonder sur les déclarations de W.________, ni sur les considérations des enquêteurs, il y a lieu de constater que les faits dénoncés par la recourante ne pourront jamais être établis sur la base de sa comptabilité, celle-ci présentant des carences rédhibitoires. Aucune opération d’enquête n’apparaît susceptible de remédier à cette situation. Le défaut de preuves matérielles à ce niveau est insurmontable. En d’autres termes, la comptabilité de la recourante ne reflète à l’évidence pas la réalité de sa situation commerciale. Cette comptabilité ne saurait présenter les garanties d’exactitude indispensables à l’établissement des faits pour lesquels W.________ est mis en cause et toute condamnation de celui-ci apparaît d’emblée manifestement exclue. Au surplus, étant donné l’importance de l’incapacité de travail de cet employé durant l’année 2016 (6 mois à 100 % et 3 mois à 50 %), il paraît pour le moins douteux qu’il soit responsable d’une baisse de la marge brute, puisqu’il aura été en grande partie absent du commerce l’année en question. Quant à 2017, dès lors qu’il a travaillé à 50 % jusqu’à son licenciement au 31 octobre 2017, il faut en conclure que sa présence dans le commerce n’a pas nui à la progression de la marge brute constatée par la fiduciaire, étant précisé que cette dernière la considère comme une valeur de référence. Enfin, pour expliquer la différence de marge entre les années 2016 et 2017, la fiduciaire estime qu’il faudrait rechercher un événement qui se serait produit à cheval entre ces deux années. Or, les rapports de travail de W.________ se sont terminés à la fin</w:t>
      </w:r>
    </w:p>
    <w:p>
      <w:r>
        <w:t>- 12 - du mois d’octobre 2017, de sorte que ce fait n’apparaît pas non plus à même d’expliquer la problématique en cause. Au vu des considérations qui précèdent, c’est à bon droit que le Ministère public a rendu une ordonnance de non-entrée en matière.</w:t>
      </w:r>
    </w:p>
    <w:p>
      <w:r>
        <w:rPr>
          <w:b/>
        </w:rPr>
        <w:t>E. 4</w:t>
      </w:r>
    </w:p>
    <w:p>
      <w:r>
        <w:t>Il résulte de ce qui précède que le recours, manifestement mal fondé, doit être rejeté sans autre échange d’écritures (art. 390 al. 2 CPP) et l’ordonnance du 4 novembre 2020 confirmée. Les frais de la procédure de recours,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4 novembre 2020 est confirmée. III. Les frais d’arrêt, par 1'210 fr. (mille deux cent dix francs), sont mis à la charge d’I.________. IV. L’arrêt est exécutoire. Le président : Le greffier : Du Le présent arrêt, dont la rédaction a été approuvée à huis clos, est notifié, par l'envoi d'une copie complète, à : - Me Ismael Fetahi, avocat (pour I.________),</w:t>
      </w:r>
    </w:p>
    <w:p>
      <w:r>
        <w:t>- 13 - - M. W.________,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