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PE19.012295 vom 10. Juli 2020</w:t>
      </w:r>
    </w:p>
    <w:p>
      <w:r>
        <w:t>VD Tribunal cantonal, 2020-07-10, FR</w:t>
      </w:r>
    </w:p>
    <w:p>
      <w:r>
        <w:rPr>
          <w:b/>
        </w:rPr>
        <w:t xml:space="preserve">Quelle: </w:t>
      </w:r>
      <w:r>
        <w:t>https://mcp.opencaselaw.ch/entscheid/vd_gerichte_PE19.012295</w:t>
      </w:r>
    </w:p>
    <w:p>
      <w:r>
        <w:t>FR: VD_GERICHTE PE19.012295 du 10 juillet 2020</w:t>
      </w:r>
    </w:p>
    <w:p>
      <w:r>
        <w:t>IT: VD_GERICHTE PE19.012295 del 10 luglio 2020</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w:t>
      </w:r>
    </w:p>
    <w:p>
      <w:r>
        <w:t>- 4 - d’une infraction à la charge d’une personne déterminée (TF 1B_67/2012 du 29 mai 2012 consid. 3.2).</w:t>
      </w:r>
    </w:p>
    <w:p>
      <w:r>
        <w:rPr>
          <w:b/>
        </w:rPr>
        <w:t>E. 3.1</w:t>
      </w:r>
    </w:p>
    <w:p>
      <w:r>
        <w:t>Le recourant soutient que les déclarations de R.________ et O.________ sont constitutives de diffamation, puisque celles-ci ont non seulement propagé l’idée qu’il était une personne « méprisable », mais l’ont également accusé d’avoir lui-même eu un comportement pénalement répréhensible, pour violation de domicile (art. 186 CP) et violation du domaine secret ou du domaine privé au moyen d’un appareil de prises de vues (art. 179quater CP), en plus d’être un harceleur. Il ajoute que R.________ a propagé ces propos diffamatoires lors d’une assemblée officielle de la PPE dont le procès-verbal sera publié et accessible au Registre foncier par toute personne y ayant un intérêt, ce qui aggrave d’autant plus l’atteinte dont il est l’objet. Le recourant allègue également que, selon ce qui ressort de courriers échangés avant le dépôt de plainte et de ce que l’une des prévenues a exprimé publiquement devant plusieurs témoins, l’unique intention de ces dernières était de lui nuire. Enfin, le recourant conteste la manière dont la procédure s’est déroulée, à savoir que la procureure n’a auditionné que les prévenues et que si la possibilité lui avait été donnée de pouvoir s’exprimer, il aurait alors produit les pièces jointes au recours prouvant que la bonne foi ou la véracité des propos tenus par les intéressées ne pouvaient pas être retenues, ou du moins qu’une enquête aurait dû être ouverte.</w:t>
      </w:r>
    </w:p>
    <w:p>
      <w:r>
        <w:rPr>
          <w:b/>
        </w:rPr>
        <w:t>E. 3.2.1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w:t>
      </w:r>
    </w:p>
    <w:p>
      <w:r>
        <w:t>- 5 -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w:t>
      </w:r>
    </w:p>
    <w:p>
      <w:r>
        <w:t>- 6 - de ses propos et qu'il les ait néanmoins proférés ; il n'est pas nécessaire qu'il ait eu la volonté de blesser la personne visée (ATF 137 IV 313 consid. 2.1.6).</w:t>
      </w:r>
    </w:p>
    <w:p>
      <w:r>
        <w:rPr>
          <w:b/>
        </w:rPr>
        <w:t>E. 3.2.2</w:t>
      </w:r>
    </w:p>
    <w:p>
      <w:r>
        <w:t>Selon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alii, Petit commentaire du Code pénal, 2e éd., Bâle 2017, n. 30 ad art. 173 CP et les réf. citées).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JdT 1992 IV 107). L'admission à la preuve libératoire constitue la règle. Elle ne peut être refusée que si deux conditions sont réunies cumulativement : l'auteur a agi principalement dans le but de dire du mal d'autrui et il s'est exprimé sans motif suffisant (art. 173 ch. 3 CP).</w:t>
      </w:r>
    </w:p>
    <w:p>
      <w:r>
        <w:rPr>
          <w:b/>
        </w:rPr>
        <w:t>E. 3.2.3</w:t>
      </w:r>
    </w:p>
    <w:p>
      <w:r>
        <w:t>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1er novembre 2017 consid. 2.2.2).</w:t>
      </w:r>
    </w:p>
    <w:p>
      <w:r>
        <w:t>- 7 -</w:t>
      </w:r>
    </w:p>
    <w:p>
      <w:r>
        <w:rPr>
          <w:b/>
        </w:rPr>
        <w:t>E. 3.3</w:t>
      </w:r>
    </w:p>
    <w:p>
      <w:r>
        <w:t>En l’espèce, au cours de l’assemblée extraordinaire de la PPE du 9 avril 2019, R.________ a déclaré que le recourant avait « pénétré dans la partie privée » du logement d’O.________, comportement constitutif de violation de domicile (art. 186 CP), et qu’il avait « pris des photos des chambres à coucher au travers des vitres », comportement constitutif de violation du domaine secret ou du domaine privé au moyen d’un appareil de prise de vues (art. 179quater CP). Elle a admis qu’elle avait tenu de tels propos (PV aud. 3, D. 11 et R. 11). De surcroît, ces déclarations ont été articulées en présence de plusieurs personnes et retranscrites au procès- verbal de l’assemblée de la PPE. Selon la jurisprudence, le seul fait d’imputer à autrui une conduite réprimée par la loi pénale est attentatoire à l’honneur. Le Ministère public ne pouvait donc pas rendre une ordonnance de non-entrée en matière dans la mesure où le caractère diffamatoire (et non calomnieux) des propos dénoncés était réalisé selon l’art. 173 ch. 1 CP. En outre, la vision manichéenne de la procureure tendant à admettre la preuve libératoire en faveur de R.________, en ne faisant entendre que celle-ci et sa locataire et sans autre considération sur les propos tenus que leur « sincérité », n’emporte pas la conviction. La lecture du procès-verbal de l’assemblée du 9 avril 2019, en particulier les chiffres 12 à 15, démontre sans ambiguïté qu’il existe des conflits antérieurs entre les parties, ce que l’administratrice de la PPE a par ailleurs confirmé en qualifiant même l’ambiance entre les copropriétaires et les locataires de « catastrophique » (PV aud. 1, R. 9). Ce ne sont donc pas seulement les déclarations des prévenues qu’il y avait lieu de recueillir, mais également – à tout le moins – celles du plaignant. Par conséquent, le Ministère public devra ouvrir une enquête et procéder à tout acte d’instruction qu’il estimera utile et nécessaire afin de vérifier les éventuelles preuves libératoires selon l’art. 173 ch. 2 et/ou 3 CP.</w:t>
      </w:r>
    </w:p>
    <w:p>
      <w:r>
        <w:t>- 8 -</w:t>
      </w:r>
    </w:p>
    <w:p>
      <w:r>
        <w:rPr>
          <w:b/>
        </w:rPr>
        <w:t>E. 4</w:t>
      </w:r>
    </w:p>
    <w:p>
      <w:r>
        <w:t>Il résulte de ce qui précède que le recours doit être admis, l'ordonnance entreprise annulée et la cause renvoyée à l'autorité intimée pour qu'elle procède dans le sens des considérants. Le recourant, qui a procédé avec l’assistance d’un avocat de choix, a droit à une indemnité pour les dépenses occasionnées par la procédure de recours (art. 436 al. 1 et 433 al. 1 CPP). Cette indemnité sera fixée à 900 fr., sur la base de trois heures d’activité au tarif horaire d’avocat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et 7,7% pour la TVA, ce qui correspond à la somme de 989 fr. en chiffres ronds. Les frais de la procédure de recours, par 880 fr. (art. 20 al. 1 TFIP), ainsi que l’indemnité allouée au recourant, par 989 fr., seront laissés à la charge de l'Etat (art. 423 al. 1 CPP). Par ces motifs, la Chambre des recours pénale prononce : I. Le recours est admis. II. L'ordonnance du 8 avril 2020 est annulée. III. Le dossier de la cause est renvoyé au Ministère public de l'arrondissement de Lausanne pour qu'il procède dans le sens des considérants. IV. Une indemnité de 989 fr. (neuf cent huitante-neuf francs) est allouée à X.________, à la charge de l'Etat. V. Les frais d'arrêt, par 880 fr. (huit cent huitante francs), sont laissés à la charge de l'Etat.</w:t>
      </w:r>
    </w:p>
    <w:p>
      <w:r>
        <w:t>- 9 - VI. L’arrêt est exécutoire. Le président : La greffière : Du Le présent arrêt, dont la rédaction a été approuvée à huis clos, est notifié, par l'envoi d'une copie complète, à : - Me Nicolas Saviaux, avocat (pour X.________), - Ministère public central, et communiqué à : - Mme la Procureure de l'arrondissement de Lausanne, - Mme R.________, - Mme 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