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PE19.012230 vom 25. März 2020</w:t>
      </w:r>
    </w:p>
    <w:p>
      <w:r>
        <w:t>VD Tribunal cantonal, 2020-03-25, FR</w:t>
      </w:r>
    </w:p>
    <w:p>
      <w:r>
        <w:rPr>
          <w:b/>
        </w:rPr>
        <w:t xml:space="preserve">Quelle: </w:t>
      </w:r>
      <w:r>
        <w:t>https://mcp.opencaselaw.ch/entscheid/vd_gerichte_PE19.012230</w:t>
      </w:r>
    </w:p>
    <w:p>
      <w:r>
        <w:t>FR: VD_GERICHTE PE19.012230 du 25 mars 2020</w:t>
      </w:r>
    </w:p>
    <w:p>
      <w:r>
        <w:t>IT: VD_GERICHTE PE19.012230 del 25 marzo 2020</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Il peut être interjeté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du 19 mai 2009 ; BLV 312.01] ; art. 80 LOJV [loi d'organisation judiciaire du 12 septembre 1979 ; BLV 173.01]). Interjetés par des parties ayant qualité pour recourir et satisfaisant aux conditions de forme posées par l'art. 385 al. 1 CPP, les recours sont recevables. En outre, ceux-ci ont trait au même complexe de faits et posent des questions identiques sur le plan juridique. Il y a donc lieu de les traiter en un seul arrêt.</w:t>
      </w:r>
    </w:p>
    <w:p>
      <w:r>
        <w:t>- 7 -</w:t>
      </w:r>
    </w:p>
    <w:p>
      <w:r>
        <w:rPr>
          <w:b/>
        </w:rPr>
        <w:t>E. 2.1</w:t>
      </w:r>
    </w:p>
    <w:p>
      <w:r>
        <w:t>Les recourants se plaignent d’inaction et d’absence de réponses à leurs courriers. Le Ministère public n’aurait ni accédé aux requêtes des conseils des recourants, ni même accusé réception des différents courriers qui lui avaient été adressés. Les recourants relèvent qu’après près de dix mois depuis le dépôt de la première plainte pénale, aucun acte d’instruction n’aurait été réalisé, les parties n’ayant pas été entendues par le Ministère public. De plus, l’inaction de cette autorité mettrait en péril la manifestation de la vérité, l’écoulement du temps rendant imprécis les souvenirs, ce qui prétériterait l’établissement des faits.</w:t>
      </w:r>
    </w:p>
    <w:p>
      <w:r>
        <w:rPr>
          <w:b/>
        </w:rPr>
        <w:t>E. 2.2</w:t>
      </w:r>
    </w:p>
    <w:p>
      <w:r>
        <w:t>En vertu de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2.3</w:t>
      </w:r>
    </w:p>
    <w:p>
      <w:r>
        <w:t>En l’espèce, hormis un courrier du 28 juin 2019 par lequel le Ministère public a fixé à K.________ et A.Z.________ un délai au 16 juillet 2019 pour lui faire savoir si un retrait réciproque de leurs plaintes était envisageable (P. 7), le Ministère public n’a entrepris aucune démarche jusqu’au 5 mars 2020, date à laquelle il a convoqué les parties à une audience de conciliation, qui a finalement dû être reportée en raison de la crise sanitaire actuelle (P. 18). Ainsi, avant le dépôt des recours, le Ministère public n’a donné aucune suite aux lettres des avocats des recourants invitant l’autorité à leur remettre une copie du dossier et à leur indiquer quelle suite elle comptait donner à leurs plaintes (cf. courriers des 5 et 8 novembre 2019 ; P. 10 et 11), ni à leurs relances successives (courriers des 4 et 6 décembre 2019, puis des 20 et 21 janvier 2020 ; P. 12 à 15). Le Ministère public a admis le retard qui lui est reproché et l’explique par une surcharge de travail. Cette situation n’enlève rien à l’inaction patente qui apparaît contraire à une saine administration de la justice. Force est de constater que les conditions pour admettre un retard injustifié sont manifestement réalisées. 3. Au vu de ce qui précède, il convient de prendre acte du retrait des conclusions des recourants tendant à ce qu’il soit ordonné au Ministère public d’instruire sans désemparer leurs plaintes et d’admettre, pour le surplus, les recours en tant qu’ils tendent au constat d’un retard injustifié et à l’allocation d’une indemnité. Les frais de la procédure de recours, constitués en l’espèce du seul émolument d’arrêt (art. 422 al. 1 CPP), par 1’100 fr. (art. 20 al. 1 TFIP [tarif des frais de procédure et indemnités en matière pénale du 28 septembre 2010 ; BLV 312.03.1]), seront laissés à la charge de l’Etat (art. 423 al. 1 CPP). Les recourants – soit A.Z.________, d’une part, ainsi que S.________ et O.________, d’autre part, – obtenant gain de cause et ayant</w:t>
      </w:r>
    </w:p>
    <w:p>
      <w:r>
        <w:t>- 10 - procédé avec l’assistance d’un mandataire professionnel, ont droit à de justes indemnités pour les dépenses occasionnées par l’exercice raisonnable de leurs droits pour la procédure de recours. Au vu des mémoires produits, les honoraires de chacun des conseils peuvent être fixés à 600 fr. (2 heures à 300 fr.), auxquels il convient d’ajouter des débours forfaitaires à concurrence de 2 % (art. 19 al. 2 TDC [tarif des dépens en matière civile du 23 novembre 2010 ; BLV 270.11.6], applicable par renvoi de l’art. 26a al. 6 TFIP), par 12 fr., ainsi qu’un montant correspondant à la TVA, par 47 fr. 10, ce qui revient à 659 fr. 10 au total pour chacune des indemnités. Ces montants seront alloués à A.Z.________, d’une part, ainsi qu’à S.________ et O.________, d’autre part, solidairement entre elles, à la charge de l’Etat. Par ces motifs, la Chambre des recours pénale prononce : I. Il est pris acte du retrait des conclusions des recourants tendant à ce qu’ordre soit donné au Ministère public d’instruire leurs plaintes sans désemparer. II. Les recours sont admis pour le surplus. III. Il est constaté un retard injustifié dans l’instruction de la cause PE19.012230-PGT. IV. Les frais d’arrêt, par 1’100 fr. (mille cent francs), sont laissés à la charge de l’Etat. V. Une indemnité de 659 fr. 10 (six cent cinquante-neuf francs et dix centimes) est allouée à A.Z.________ pour la procédure de recours, à la charge de l’Etat. VI. Une indemnité de 659 fr. 10 (six cent cinquante-neuf francs et dix centimes) est allouée à S.________ et O.________, solidairement entre elles, pour la procédure de recours, à la charge de l’Etat.</w:t>
      </w:r>
    </w:p>
    <w:p>
      <w:r>
        <w:t>- 11 - VII. L’arrêt est exécutoire. Le président : La greffière : Du Le présent arrêt, dont la rédaction a été approuvée à huis clos, est notifié, par l'envoi d'une copie complète, à : - Me Isabelle Bühler, avocate (pour S.________ et O.________), - Me Alexandra Lopez, avocate (pour A.Z.________), - Ministère public central, et communiqué à : - M. le Procureur de l’arrondissement du Nord vaudois, - K.________,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6</w:t>
      </w:r>
    </w:p>
    <w:p>
      <w:r>
        <w:t>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ATF 135 I 265 consid. 4.4 ; TF 1B_579/2019 du 3 février 2020 consid. 3.1 ; TF 6B_417/2019 du 13 septembre 2019 consid. 4.1 et l’arrêt cité). S’agissant plus particulièrement des autorités pénales, l’art. 5 al. 1 CPP leur impose d’engager les procédures pénales sans délai et de les mener à terme sans retard injustifié. Selon la jurisprudence, pour déterminer la durée du délai raisonnable, il y a lieu de se fonder sur des éléments objectifs. Doivent</w:t>
      </w:r>
    </w:p>
    <w:p>
      <w:r>
        <w:t>- 8 -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ATF 130 IV 54 consid. 3.3.3 ; TF 1B_579/2019 précité consid. 3.1 ; TF 6B_417/2019 du 13 septembre 2019 consid. 4.1 ; TF 6B_908/2009 du 3 novembre 2010 consid. 3.1, non publié à l’ATF 136 IV 188). Il y a déni de justice lorsqu’une autorité se refuse à statuer bien qu’elle y soit obligée (ATF 124 V 130 ; ATF 117 Ia 116 consid. 3a). Un défaut de réponse du magistrat à une requête ne fonde pas automatiquement le grief de déni de justice (JdT 2012 III 27 et les réf. citées). Si l’autorité de recours constate un déni de justice ou un retard injustifié, elle peut donner des instructions à l’autorité concernée en lui impartissant des délais pour s’exécuter (art. 397 al. 4 CPP).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1B_107/2012 du 20 mars 2012 consid. 4 et les références citées).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