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PE19.011755 vom 17. Dezember 2020</w:t>
      </w:r>
    </w:p>
    <w:p>
      <w:r>
        <w:t>VD Tribunal cantonal, 2020-12-17, FR</w:t>
      </w:r>
    </w:p>
    <w:p>
      <w:r>
        <w:rPr>
          <w:b/>
        </w:rPr>
        <w:t xml:space="preserve">Quelle: </w:t>
      </w:r>
      <w:r>
        <w:t>https://mcp.opencaselaw.ch/entscheid/vd_gerichte_PE19.011755</w:t>
      </w:r>
    </w:p>
    <w:p>
      <w:r>
        <w:t>FR: VD_GERICHTE PE19.011755 du 17 décembre 2020</w:t>
      </w:r>
    </w:p>
    <w:p>
      <w:r>
        <w:t>IT: VD_GERICHTE PE19.011755 del 17 dicembre 2020</w:t>
      </w:r>
    </w:p>
    <w:p>
      <w:pPr>
        <w:pStyle w:val="Heading2"/>
      </w:pPr>
      <w:r>
        <w:t>Erwägungen</w:t>
      </w:r>
    </w:p>
    <w:p>
      <w:r>
        <w:rPr>
          <w:b/>
        </w:rPr>
        <w:t>E. 4.1</w:t>
      </w:r>
    </w:p>
    <w:p>
      <w:r>
        <w:t>L’appelant conteste la qualification de lésions corporelles qualifiée, estimant que la gravité de la lésion subie par son épouse n’excéderait pas les voies de fais.</w:t>
      </w:r>
    </w:p>
    <w:p>
      <w:r>
        <w:rPr>
          <w:b/>
        </w:rPr>
        <w:t>E. 4.2.1</w:t>
      </w:r>
    </w:p>
    <w:p>
      <w:r>
        <w:t>Aux termes de l’art. 123 ch. 1 CP, celui qui, intentionnellement, aura fait subir à une personne une autre atteinte à l’intégrité corporelle ou à la santé sera, sur plainte, puni d’une peine privative de liberté de trois ans au plus ou d’une peine pécuniaire. Selon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w:t>
      </w:r>
    </w:p>
    <w:p>
      <w:r>
        <w:t>- 11 -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w:t>
      </w:r>
    </w:p>
    <w:p>
      <w:r>
        <w:rPr>
          <w:b/>
        </w:rPr>
        <w:t>E. 4.2.2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w:t>
      </w:r>
    </w:p>
    <w:p>
      <w:r>
        <w:t>- 12 -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w:t>
      </w:r>
    </w:p>
    <w:p>
      <w:r>
        <w:rPr>
          <w:b/>
        </w:rPr>
        <w:t>E. 4.3</w:t>
      </w:r>
    </w:p>
    <w:p>
      <w:r>
        <w:t>L’appelant s’est assis sur son épouse, qui était couchée, et lui a serré le cou avec les deux mains, puis lui a asséné un coup de poing au visage. B.Q.________ a souffert d’un hématome à l’œil droit et de griffures au visage et au cou. Au regard des lésions infligées, plus particulièrement au visage sur une victime couchée, la qualification de lésions corporelles qualifiée doit être confirmée.</w:t>
      </w:r>
    </w:p>
    <w:p>
      <w:r>
        <w:rPr>
          <w:b/>
        </w:rPr>
        <w:t>E. 5.1</w:t>
      </w:r>
    </w:p>
    <w:p>
      <w:r>
        <w:t>L’appelant conteste la sanction prononcée et se plaint en particulier du genre de peine choisi par le premier juge.</w:t>
      </w:r>
    </w:p>
    <w:p>
      <w:r>
        <w:rPr>
          <w:b/>
        </w:rPr>
        <w:t>E. 5.2.1</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5.2.2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- 13 -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5.2.3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w:t>
      </w:r>
    </w:p>
    <w:p>
      <w:r>
        <w:t>- 14 -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JdT 2010 IV 127 consid. 5.7 ; TF 6B_356/2012 du 1er octobre 2012 consid. 3.2 ; TF 6B_1092/2009 du 22 juin 2010 consid. 2.2.2). Le juge dispose d’un large pouvoir d’appréciation lorsqu’il détermine l’effet de la diminution de la responsabilité sur la faute (subjective) au vu de l’ensemble des circonstances.</w:t>
      </w:r>
    </w:p>
    <w:p>
      <w:r>
        <w:rPr>
          <w:b/>
        </w:rPr>
        <w:t>E. 5.2.4</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- 15 -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5.3</w:t>
      </w:r>
    </w:p>
    <w:p>
      <w:r>
        <w:t>A.Q.________ s’est rendu coupable de lésions corporelles qualifiées et de menaces qualifiées. Certes, son médecin explique qu’une incarcération serait pour le moment extrêmement délétère en ce qui concerne son état de santé et qu’un suivi ambulatoire pourrait aider le patient et le protéger d’une éventuelle récidive (P. 34). Il n’en demeure pas moins que le genre de la peine choisi doit être confirmé, une peine privative de liberté étant justifiée pour détourner l’intéressé de commettre d’autres infractions. En effet, le prévenu a des antécédents, dont une précédente condamnation datant de 2013, pour mise en danger de la vie d’autrui, lésions corporelles simples qualifiées, voies de fait qualifiées et menaces qualifiées. De plus, il persiste à nier les faits et n’a ainsi pas pris</w:t>
      </w:r>
    </w:p>
    <w:p>
      <w:r>
        <w:t>- 16 - conscience du caractère répréhensible de ses actes. Par ailleurs, le traitement ambulatoire ordonné par le Tribunal correctionnel le 5 décembre 2013 n’a pas permis d’éviter une récidive. La faute de l’appelant devrait être qualifiée de lourde. Il convient toutefois de tenir compte d’une diminution de responsabilité. Dans leur rapport d’expertise psychiatrique de 2013, les médecins avaient posé le diagnostic de troubles dépressifs récurrents, épisode actuel moyen à sévère et probable résurgence d’un état de stress post-traumatique. Ils ont conclu que la capacité du prévenu à se déterminer selon une appréciation du caractère illicite de ses actes était légèrement à moyennement diminuée. Selon un certificat médical du 1er décembre 2020 (P. 34) établi par le Dr [...], le prévenu souffre d’une pathologie se situant dans le spectre d’une schizophrénie articulée à une personnalité paranoïaque (P. 34). On constate ainsi que le diagnostic posé par ce médecin est plus lourd que celui de 2013. Par conséquent, la faute sera uniquement considérée comme moyenne. Bien que ce dernier diagnostic montre que l’état de A.Q.________ s’est dégradé depuis l’expertise psychiatrique de 2013, une modification de la quotité de la peine prononcée par les premiers juges ne se justifie pas. En effet, celle-ci aurait été fixée à 60 jours si la responsabilité de A.Q.________ n’avait pas été diminuée en raison de sa maladie. Ainsi, l’infraction la plus grave, soit les lésions corporelles simples qualifiées, doit être sanctionnée de 15 jours de peine privative de liberté. Par l’effet du concours, et pour sanctionner les menaces qualifiées, on ajoutera 5 jours de peine privative de liberté. En définitive, la peine privative de liberté de 20 jours prononcée par les premiers juges est adéquate. Les conditions à l’octroi du sursis ne sont pas réunies, l’accusé ne paraissant pas réaliser le caractère répréhensible de ses actes. Même s’il vit éloigné de son épouse, le risque de récidive ne peut être écarté. Tout comme les premiers juges, la Cour de céans est consciente que le médecin-psychiatre traitant a déclaré qu’une incarcération de A.Q.________</w:t>
      </w:r>
    </w:p>
    <w:p>
      <w:r>
        <w:t>- 17 - serait délétère pour le moment. Néanmoins, il appartiendra aux autorités d’exécution et au service pénitentiaire de tenir compte, le cas échéant, de la pathologie de l’accusé, lequel doit néanmoins comprendre que celle-ci ne lui permet pas d’obtenir une suspension de peine de façon systématique.</w:t>
      </w:r>
    </w:p>
    <w:p>
      <w:r>
        <w:rPr>
          <w:b/>
        </w:rPr>
        <w:t>E. 6</w:t>
      </w:r>
    </w:p>
    <w:p>
      <w:r>
        <w:t>En définitive, l’appel de A.Q.________ doit être rejeté et le jugement entrepris entièrement confirmé. Le défenseur d’office de A.Q.________, Me Roxane Chauvet- Mongard, a produit une liste d’opérations faisant état d’une durée totale de 10h10 d’activité, y compris 5h50 effectuées par un avocat-stagiaire (P. 51), dont il n’y a pas lieu de s’écarter.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1’433 fr. à titre d’honoraires. A cela s’ajoutent un forfait pour les débours de 2% (cf. art. 26b TFIP qui renvoie à l'art. 3bis RAJ), par 3028 fr. 65, une vacation par 80 fr., ainsi que la TVA sur le tout, au taux de 7,7%, par 118 fr. 70. Partant, une indemnité d’un montant total de 1'660 fr. 35 sera allouée à Me Roxane Chauvet-Mingard. Vu l’issue de la cause, les frais de deuxième instance, constitués en l’espèce de l’émolument de jugement, par 1’720 fr. (art. 21 al. 1 et 2 TFIP), ainsi que de l’indemnité allouée au défenseur d’office de l’appelant, par 1'660 fr. 35, le tout totalisant 3'380 fr. 35, doivent être mis à la charge de l’appelant A.Q.________, qui succombe (art. 428 al. 1 CPP). Le remboursement à l'Etat de l’indemnité d'office ne sera exigible que pour autant que la situation économique de l’appelant le permette (art. 135 al. 4 CPP).</w:t>
      </w:r>
    </w:p>
    <w:p>
      <w:r>
        <w:t>- 18 - Par ces motifs, appliquant les articles 40, 47, 49 al. 1, 50, 123 ch. 1 et 2 al. 3, 180 al. 1 et 2 let. a CP et 398 ss CPP, prononce : I. L’appel est rejeté. II. Le jugement rendu le 17 décembre 2020 par le Tribunal de police de l’arrondissement de Lausanne est confirmé selon le dispositif suivant : " I. Constate que A.Q.________ s’est rendu coupable de lésions corporelles qualifiées et menaces qualifiées ; II. condamne A.Q.________ à une peine privative de liberté de 20 (vingt) jours ; III. arrête à 3'678 fr. 20 le montant de l’indemnité alloué à Me Roxane Chauvet-Mingard, avocat d’office de A.Q.________ ; IV. met les frais, par 5'878 fr. 20 à la charge de A.Q.________, lesquels comprennent le montant de l’indemnité allouée sous ch. III ci-dessus et dit que A.Q.________ sera tenu de rembourser à l’Etat le montant de l’indemnité allouée sous ch. III ci-dessus lorsque sa situation financière le permettra ". III. Une indemnité de défenseur d'office pour la procédure d'appel d'un montant de 1'660 fr. 35, TVA et débours inclus, est allouée à Me Roxane Chauvet-Mingard. IV.Les frais d'appel, par 3'380 fr. 35, qui comprennent l'indemnité allouée au défenseur d'office, sont mis à la charge de A.Q.________.</w:t>
      </w:r>
    </w:p>
    <w:p>
      <w:r>
        <w:t>- 19 - V. A.Q.________ ne sera tenu de rembourser à l’Etat le montant de l’indemnité en faveur de son conseil d’office prévue au ch. III. ci-dessus que lorsque sa situation financière le permettra. La présidente : La greffière : Du Le jugement qui précède, dont le dispositif a été communiqué par écrit aux intéressés le 10 mai 2021, est notifié, par l'envoi d'une copie complète, à : - Me Roxane Chauvet-Mingard, avocate (pour A.Q.________), - Ministère public central, et communiqué à : - Mme la Présidente du Tribunal de police de l'arrondissement de Lausanne, - M. le Procureur de l'arrondissement de Lausanne,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- 20 -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