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PE19.011692 vom 5. Juni 2020</w:t>
      </w:r>
    </w:p>
    <w:p>
      <w:r>
        <w:t>VD Tribunal cantonal, 2020-06-05, FR</w:t>
      </w:r>
    </w:p>
    <w:p>
      <w:r>
        <w:rPr>
          <w:b/>
        </w:rPr>
        <w:t xml:space="preserve">Quelle: </w:t>
      </w:r>
      <w:r>
        <w:t>https://mcp.opencaselaw.ch/entscheid/vd_gerichte_PE19.011692</w:t>
      </w:r>
    </w:p>
    <w:p>
      <w:r>
        <w:t>FR: VD_GERICHTE PE19.011692 du 5 juin 2020</w:t>
      </w:r>
    </w:p>
    <w:p>
      <w:r>
        <w:t>IT: VD_GERICHTE PE19.011692 del 5 giugno 2020</w:t>
      </w:r>
    </w:p>
    <w:p>
      <w:pPr>
        <w:pStyle w:val="Heading2"/>
      </w:pPr>
      <w:r>
        <w:t>Erwägungen</w:t>
      </w:r>
    </w:p>
    <w:p>
      <w:r>
        <w:rPr>
          <w:b/>
        </w:rPr>
        <w:t>E. 4.1</w:t>
      </w:r>
    </w:p>
    <w:p>
      <w:r>
        <w:t>L'appelant conteste ensuite la fixation de la peine. Il soutient que les premiers juges n’auraient, à tort, pas tenu compte de sa situation personnelle et de l’effet de la peine sur son avenir. Il relève en particulier le fait qu'il avait un emploi et qu'il pourrait le récupérer à sa sortie de prison, qu'il pourrait loger chez sa mère – gravement malade et dont il pourra prendre soin – à sa libération, qu'il suit un traitement pour réduire les effets de sa dépendance aux stupéfiants, traitement qu’il entendrait poursuivre à sa sortie de détention, tout comme les consultations chez le psychiatre et que, par conséquent, il pourrait se soigner de son addiction et n’aurait plus de raison d’acquérir des stupéfiants, qu'il parle français, qu’il dispose d’un réseau d’amis dans la région, qu’il compte reprendre sa vie en main et enfin qu’il n'a que 30 ans et qu’une peine plus clémente lui permettrait d’envisager une réintégration dans la société, ce qui serait exclu au vu de la quotité de la peine prononcée en première instance.</w:t>
      </w:r>
    </w:p>
    <w:p>
      <w:r>
        <w:rPr>
          <w:b/>
        </w:rPr>
        <w:t>E. 4.2.1</w:t>
      </w:r>
    </w:p>
    <w:p>
      <w:r>
        <w:t>Selon l’art. 47 CP, le juge fixe la peine d'après la culpabilité de l'auteur. Il prend en considération les antécédents et la situation</w:t>
      </w:r>
    </w:p>
    <w:p>
      <w:r>
        <w:t>- 21 -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6B_1463/2019 du 20 février 2020 consid. 2.1.1).</w:t>
      </w:r>
    </w:p>
    <w:p>
      <w:r>
        <w:rPr>
          <w:b/>
        </w:rPr>
        <w:t>E. 4.2.2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w:t>
      </w:r>
    </w:p>
    <w:p>
      <w:r>
        <w:t>- 22 -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 TF 6B_1192/2018 du 23 janvier 2019 consid. 1.1 ; TF 6B_780/2018 du 9 octobre 2018 consid. 2.1 ; TF 6B_807/2017 du 30 janvier 2018 consid. 2.1 ; TF 6B_189/2017 du 7 décembre 2017 consid. 5.1).</w:t>
      </w:r>
    </w:p>
    <w:p>
      <w:r>
        <w:rPr>
          <w:b/>
        </w:rPr>
        <w:t>E. 4.3</w:t>
      </w:r>
    </w:p>
    <w:p>
      <w:r>
        <w:t>Aucun des arguments invoqués par l’appelant n'est pertinent dans le cadre de la fixation de la peine. Tout d’abord, il convient de relever que les premiers juges n’ont pas omis de prendre en considération le fait que l’appelant avait un emploi, mais qu’ils ont à juste titre retenu que, malgré une certaine insertion professionnelle, X.________ avait choisi, depuis plusieurs années, de se complaire et de s’inscrire durablement dans la délinquance. Ensuite, le fait de pouvoir loger chez sa mère – alors qu’il est âgé de 31 ans – ne constitue pas un facteur d'atténuation, ni d’ailleurs la maîtrise du français, étant relevé que l’appelant disposait déjà d’un logement et maîtrisait également le français au moment où il a commis les actes qui lui valent la présente condamnation. Ces éléments ne sont donc pas nouveaux et ne représentent aucunement un facteur de protection chez le prévenu. Quant au traitement entrepris en détention pour lutter contre les effets du manque, il est uniquement la conséquence indirecte de sa consommation et il ne justifie pas une atténuation de la peine prononcée pour une infraction grave à la LStup. Enfin, l’âge de l’appelant ne peut plus être qualifié de « jeune » selon la jurisprudence et l'argument est vain. En définitive, à l’instar des premiers juges, il y a lieu de retenir que la culpabilité de X.________ est extrêmement lourde. En dépit des huit condamnations prononcées à son encontre pour des infractions de toutes</w:t>
      </w:r>
    </w:p>
    <w:p>
      <w:r>
        <w:t>- 23 - sortes, et notamment à deux reprises déjà pour des infractions à la LStup, il a poursuivi son activité délictueuse et ce pendant plusieurs années. Seule son arrestation a mis fin à son trafic. Il a agi par appât du gain, étant relevé qu’à une période au moins, il réalisait un revenu et qu’il n’avait donc aucunement besoin de l’argent émanant de ce trafic pour subvenir à ses besoins vitaux. Son activité a porté sur une quantité minimum de 1'030,11 grammes de cocaïne pure, réalisant de ce fait plus de cinquante fois le cas grave. Enfin, la prise de conscience de l’appelant est nulle. En effet, au stade de l’appel encore, les explications données par X.________ sont mensongères, l’intéressé se contentant de se présenter comme l’innocente victime d’un complot qui aurait été élaboré par des interlocuteurs de toute part, qui ne se connaissent pas entre eux, uniquement dans l’objectif de l’accabler. On ne voit aucun élément qui pourrait être retenu à décharge du prévenu. La peine qu’il convient de prononcer sera partiellement complémentaire aux trois dernières condamnations, le trafic retenu à la charge de X.________ dans le cadre de la présente procédure ayant commencé en 2014. En définitive, la peine privative de liberté de 4 ans et demi prononcée par les premiers juges est adéquate et doit être confirmée.</w:t>
      </w:r>
    </w:p>
    <w:p>
      <w:r>
        <w:rPr>
          <w:b/>
        </w:rPr>
        <w:t>E. 5.1</w:t>
      </w:r>
    </w:p>
    <w:p>
      <w:r>
        <w:t>X.________ conteste la mesure d’expulsion prononcée par les premiers juges.</w:t>
      </w:r>
    </w:p>
    <w:p>
      <w:r>
        <w:rPr>
          <w:b/>
        </w:rPr>
        <w:t>E. 5.2</w:t>
      </w:r>
    </w:p>
    <w:p>
      <w:r>
        <w:t>Aux termes de l'art. 66a al. 1 let. d CP, le juge expulse de Suisse l'étranger qui est condamné pour vol (art. 139 CP) en lien avec une violation de domicile (art. 186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w:t>
      </w:r>
    </w:p>
    <w:p>
      <w:r>
        <w:t>- 24 - de l'étranger à demeurer en Suisse. A cet égard, il tiendra compte de la situation particulière de l'étranger qui est né ou qui a grandi en Suisse. Ainsi, l'art. 66a CP prévoit l'expulsion «obligatoire» de l'étranger condamné pour l'une des infractions ou combinaison d'infractions listées à l'al. 1, quelle que soit la quotité de la peine prononcée à son encontre. L'expulsion est donc en principe indépendante de la gravité des faits retenus (ATF 144 IV 332 consid. 3.1.3; TF 6B_506/2017 du 14 février 2018 consid. 1.1). En l'espèce, l'intimé s’est rendu coupable d’infraction grave à la LStup, situation visée par l'art. 66a al. 1 let. o CP. Il remplit donc a priori les conditions d'une expulsion, sous la réserve de l'application de l'art. 66a al. 2 CP, voire également des normes de droit international (cf. ATF 144 IV 332 consid. 3.2).</w:t>
      </w:r>
    </w:p>
    <w:p>
      <w:r>
        <w:rPr>
          <w:b/>
        </w:rPr>
        <w:t>E. 5.3.1</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 TF 6B_1262/2018 du 29 janvier 2019 consid. 2.2).</w:t>
      </w:r>
    </w:p>
    <w:p>
      <w:r>
        <w:t>- 25 - Le fait que la clause de rigueur soit une norme potestative ne signifie pas que le juge pénal puisse librement décider d'appliquer ou non l'exception de l'art. 66a al. 2 CP. Le juge doit faire usage du pouvoir d'appréciation qui lui est conféré par cette norme dans le respect des principes constitutionnels. S'il devait refuser de renoncer à l'expulsion alors que les conditions de la clause de rigueur sont satisfaites, le principe de proportionnalité ancré à l'art. 5 al. 2 Cst. serait violé. Il s'ensuit que le juge doit renoncer à l'expulsion lorsque les conditions de l'art. 66a al. 2 CP sont réunies, conformément au principe de proportionnalité (ATF 144 IV 332 précité ; TF 6B_1329/2018 précité ; TF 6B_1262/2018 précité).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6B_124/2020 précité ; TF 6B_1421/2019 du 12 février 2020 consid. 1.3 ; TF 6B_1024/2019 du 29 janvier 2020 consid. 1.3.2).</w:t>
      </w:r>
    </w:p>
    <w:p>
      <w:r>
        <w:rPr>
          <w:b/>
        </w:rPr>
        <w:t>E. 5.3.2</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w:t>
      </w:r>
    </w:p>
    <w:p>
      <w:r>
        <w:t>- 26 -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 1 CEDH (arrêts CourEDH K.M. c. Suisse du 2 juin 2015, § 44 ; Ukaj c. Suisse du 24 juin 2014, § 27 ; Hasanbasic c. Suisse du 11 juin 2013, § 46). Un étranger peut se prévaloir de cette disposition (et de l'art. 13 Cst.) pour s'opposer à l'éventuelle séparation de sa famille, pour autant qu'il entretienne une relation étroite et effective avec une personne de sa famille ayant le droit de résider durablement en Suisse (ATF 144 II 1 consid. 6.1 ; ATF 139 I 330 consid. 2.1 et les références citées ; TF 6B_908/2019 du 5 novembre 2019 consid. 2.1.1). D'après une jurisprudence constante, les relations visées par l'art. 8 CEDH sont avant tout celles qui concernent la famille dite nucléaire, soit celles qui existent entre époux ainsi qu'entre parents et enfants mineurs vivant en ménage commun (ATF 144 II 1 précité ; ATF 135 I 143 consid. 1.3.2 ; TF 6B_908/2019 précité). Une relation familiale et un lien émotionnel ordinaires ne suffisent toutefois pas pour renoncer à l’expulsion (TF 6B_680/2018 du 19 septembre 2018 consid. 1.5). Un lien</w:t>
      </w:r>
    </w:p>
    <w:p>
      <w:r>
        <w:t>- 27 - particulièrement fort est nécessaire pour envisager l’application de la clause de rigueur pour ce motif (TF 6B_1314/2018 du 29 janvier 2019 consid. 5.3).</w:t>
      </w:r>
    </w:p>
    <w:p>
      <w:r>
        <w:rPr>
          <w:b/>
        </w:rPr>
        <w:t>E. 5.4</w:t>
      </w:r>
    </w:p>
    <w:p>
      <w:r>
        <w:t>En l’espèce, bien que l’appelant soit arrivé en Suisse à l’âge de 10 ou 12 ans, qu'il parle le français et qu’il ait exercé un emploi quelques temps avant son incarcération, son intégration est très lacunaire et se résume somme toute à la durée du séjour, à la maîtrise du français et à la présence de sa mère et de son frère en Suisse. Il n'est au bénéfice que d’un permis F. Célibataire, il n’a pas d’enfant. Son casier judiciaire fait état de huit condamnations, pour des infractions de toutes sortes et non limitées à la LStup, l’appelant ayant notamment été condamné pour des infractions de nature sexuelle (actes d'ordre sexuel avec un enfant), des infractions contre le patrimoine, la liberté, l'instruction pénale et la LCR. Une telle persistance dans la délinquance, qui plus est variée, démontre davantage un mépris pour l'ordre juridique suisse qu'une intégration, ne serait-ce que partielle. C'est peu et cela permet de douter qu'il y ait ici une situation où l'expulsion mettrait l'étranger dans une situation personnelle grave : il n'a certes pas d'attaches en Erythrée, mais il n'y a guère davantage d'enracinement en Suisse, à part dans la délinquance. Enfin, contrairement à ce qu’il a fait plaider, il ressort de la récente jurisprudence de la Cour européenne des droits de l’homme que si la situation générale des droits humains en Erythrée reste certes préoccupante, elle ne représente pas en tant que tel un obstacle au renvoi (cf. jugement CEDH du 20 septembre 2017, cas n° 41282/16, § 70). Dans ses dernières jurisprudences, le Tribunal administratif fédéral relève quant à lui qu’en cas de retour d’un Erythréen dans son pays, un risque majeur de sanction ne peut être admis qu’en présence de facteurs qui font apparaître l’intéressé comme une personne indésirable aux yeux des autorités érythréennes, notamment parce qu’il a été identifié comme un opposant au régime ou a occupé une fonction en vue avant de quitter le pays, a déserté ou encore a été reconnu comme réfractaire au service militaire (cf. notamment TAF E-6449/2017 du 18 avril 2019, consid. 4.2 et les réf. citées;</w:t>
      </w:r>
    </w:p>
    <w:p>
      <w:r>
        <w:t>- 28 - TAF E-4429/2017 du 17 avril 2019, consid. 5.2; TAF E-5022/2017 du 10 juillet 2018, consid. 6.1.6). L’appelant n’entre dans aucune des catégories à risque définies par le Tribunal administratif fédéral ; il ne serait donc pas exposé à un danger immédiat pour son intégrité physique en cas de retour en Erythrée. En définitive, compte tenu de l’intégration médiocre de l’appelant en Suisse, de son ancrage dans la délinquance et de la gravité des faits pour lesquels il est condamné, l’intérêt public à l’expulsion doit l’emporter sur son intérêt privé à demeurer en Suisse. Celle-ci sera prononcée pour une durée de dix ans.</w:t>
      </w:r>
    </w:p>
    <w:p>
      <w:r>
        <w:rPr>
          <w:b/>
        </w:rPr>
        <w:t>E. 6</w:t>
      </w:r>
    </w:p>
    <w:p>
      <w:r>
        <w:t>L’appelant a requis la restitution de divers objets séquestrés, au motif que ceux-ci n’auraient pas servi à commettre des infractions et n’en seraient pas non plus le fruit. Ce grief, lié aux conclusions de l’appelant tendant à sa libération d’une partie des faits retenus à sa charge, doit être rejeté dès lors que X.________ est reconnu coupable de tous les faits pour lesquels il a été renvoyés. Il apparaît en effet que tant le sac, d’une certaine valeur et qui a probablement été acquis avec les bénéfices tirés du trafic, que le téléphone portable utilisé par le prévenu, sont en lien avec les infractions reprochées à l’appelant. Il n’y a donc pas matière à restitution.</w:t>
      </w:r>
    </w:p>
    <w:p>
      <w:r>
        <w:rPr>
          <w:b/>
        </w:rPr>
        <w:t>E. 7</w:t>
      </w:r>
    </w:p>
    <w:p>
      <w:r>
        <w:t>Conformément à l’art. 51 CP, la détention subie par l’appelant depuis le jugement de première instance doit être déduite de la peine infligée.</w:t>
      </w:r>
    </w:p>
    <w:p>
      <w:r>
        <w:rPr>
          <w:b/>
        </w:rPr>
        <w:t>E. 8</w:t>
      </w:r>
    </w:p>
    <w:p>
      <w:r>
        <w:t>Le maintien en détention pour des motifs de sûreté de l’appelant sera ordonné pour garantir l'exécution de la peine, vu les risques de fuite et de récidive qu’il présente (art. 221 al. 1 let. a et c CPP).</w:t>
      </w:r>
    </w:p>
    <w:p>
      <w:r>
        <w:rPr>
          <w:b/>
        </w:rPr>
        <w:t>E. 9</w:t>
      </w:r>
    </w:p>
    <w:p>
      <w:r>
        <w:t>En définitive, l'appel de X.________ doit être rejeté et le jugement entrepris intégralement confirmé. Selon la liste d’opérations produite à l’audience d’appel par Me Youri Widmer, en remplacement de Me Anna Zangger, (P. 98) défenseur d’office de X.________, dont il n'y a pas lieu de s'écarter, une indemnité</w:t>
      </w:r>
    </w:p>
    <w:p>
      <w:r>
        <w:t>- 29 - d’un montant de 3'073 fr. 05, TVA et débours inclus, sera allouée au défenseur d’office de l’appelant. Vu l’issue de la cause, les frais de la procédure d’appel, soit l’émolument de jugement par 2'710 fr. (art. 21 al. 1 et 2 TFIP [Tarif des frais de procédure et indemnités en matière pénale du 28 septembre 2010 ; BLV 312.03.1]) et l'indemnité du défenseur d'office de l'appelant, par 3'073 fr. 05, soit au total 5’783 fr. 05, sont mis à la charge de X.________, qui succombe (art. 428 al. 1, 1re phrase, CPP).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