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PE19.011230 vom 27. September 2019</w:t>
      </w:r>
    </w:p>
    <w:p>
      <w:r>
        <w:t>VD Tribunal cantonal, 2019-09-27, FR</w:t>
      </w:r>
    </w:p>
    <w:p>
      <w:r>
        <w:rPr>
          <w:b/>
        </w:rPr>
        <w:t xml:space="preserve">Quelle: </w:t>
      </w:r>
      <w:r>
        <w:t>https://mcp.opencaselaw.ch/entscheid/vd_gerichte_PE19.011230</w:t>
      </w:r>
    </w:p>
    <w:p>
      <w:r>
        <w:t>FR: VD_GERICHTE PE19.011230 du 27 septembre 2019</w:t>
      </w:r>
    </w:p>
    <w:p>
      <w:r>
        <w:t>IT: VD_GERICHTE PE19.011230 del 27 settembre 2019</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Dans un premier moyen, le recourant fait valoir que les faits qui lui sont reprochés ne seraient constitutifs que de lésions corporelles simples qualifiées et d’injure. Ce grief doit être rejeté. A la lecture des auditions de I.________ et de B.F.________, ainsi que du rapport du CURML du 5 juillet 2019 qui fait état notamment d’une « marque de strangulation faisant tout le pourtour du cou », plusieurs autres infractions, dont celle de mise en danger de la vie d'autrui, demeurent envisageables à ce stade, infractions qu’il appartiendra au demeurant au juge du fond d’examiner. Pour le surplus, dans un chapitre intitulé « proportionnalité » où il fait valoir que la durée de la détention qu’il a subie serait supérieure à la peine qu’il encourt (cf. consid. 5 ci-dessous), le recourant se contente d’indiquer qu’il conteste l’existence de charges suffisantes à son encontre. A défaut pour le recourant de motiver ce grief et d’invoquer de nouveaux éléments, il peut être renvoyé sur cette question aux considérants de l’arrêt rendu par la Cour de céans le 18 juin 2019 (consid. 2.3), qui demeurent d’actualité et n’ont par ailleurs pas été remis en question par l’intéressé dans le cadre du recours qu’il a interjeté devant le Tribunal fédéral (cf. TF 1B_339/2019 précité consid. 3).</w:t>
      </w:r>
    </w:p>
    <w:p>
      <w:r>
        <w:rPr>
          <w:b/>
        </w:rPr>
        <w:t>E. 3.1</w:t>
      </w:r>
    </w:p>
    <w:p>
      <w:r>
        <w:t>Le recourant conteste l’existence d’un risque de réitération. Il soutient qu’un tel risque serait purement abstrait, que « la chronologie des faits démontrerait que les épisodes de violences se sont toujours déroulés</w:t>
      </w:r>
    </w:p>
    <w:p>
      <w:r>
        <w:t>- 7 - alors que les parties vivaient ensemble au quotidien » et qu’il aurait démontré qu’il avait trouvé une solution de logement. Il fait valoir ensuite qu’au terme de la procédure PE18.019473, ce serait I.________ qui devrait être condamnée pour l’avoir, entre le mois de janvier 2018 et le 12 décembre 2018, poussé, frappé, griffé et mordu. Pour sa part, la condamnation du recourant ne concernerait que d’hypothétiques injures, au sujet desquelles I.________ aurait par ailleurs déclaré retirer sa plainte. Le recourant considère ainsi qu’aucun élément au dossier ne permettrait d’établir un risque avéré de réitération. Il relève enfin que malgré son trouble psychiatrique, son casier judiciaire ne comporte aucune condamnation.</w:t>
      </w:r>
    </w:p>
    <w:p>
      <w:r>
        <w:rPr>
          <w:b/>
        </w:rPr>
        <w:t>E. 3.2</w:t>
      </w:r>
    </w:p>
    <w:p>
      <w:r>
        <w:t>L'art. 221 al. 1 let. c CPP pose trois conditions pour admettre un risque de récidive. En premier lieu, le prévenu doit en principe déjà avoir commis des infractions du même genre et il doit s'agir de crimes ou de délits graves. Ensuite, la sécurité d'autrui doit être sérieusement compromise. Enfin,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w:t>
      </w:r>
    </w:p>
    <w:p>
      <w:r>
        <w:t>- 8 - d'un pré-rapport – moyens d'instruction dont la mise en œuvre n'est pas forcément nécessaire dans tous les cas où le risque de récidive est examiné –, il y a lieu d'en tenir compte (ATF 143 IV 9 consid. 2.8). En général, la mise en danger de la sécurité d'autrui est d'autant plus grande que les actes redoutés sont graves. En revanche, le rapport entre gravité et rigueur des conditions pour admettre un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 TF 1B_206/2018 du 23 mai 2018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 TF 1B_3/2019 du 17 janvier 2019 consid. 3.1). Le risque de récidive peut également se fonder sur les infractions faisant l'objet de la procédure pénale en cours, si le prévenu est fortement soupçonné – avec une probabilité confinant à la certitude – de les avoir commises (ATF 143 IV 9 consid. 2.3.1 ; TF 1B_3/2019 du 17 janvier 2019 consid. 3.1).</w:t>
      </w:r>
    </w:p>
    <w:p>
      <w:r>
        <w:rPr>
          <w:b/>
        </w:rPr>
        <w:t>E. 3.3</w:t>
      </w:r>
    </w:p>
    <w:p>
      <w:r>
        <w:t>En l’occurrence, dans son arrêt du 26 juillet 2019, le Tribunal fédéral a considéré que l’absence d'antécédent judiciaire du prévenu n’était pas déterminante. S’agissant des éléments au dossier, il a relevé que la police était intervenue à deux reprises auparavant au domicile du recourant pour des faits semblables et qu'une mesure d'éloignement du domicile conjugal avait été prononcée le 12 décembre 2018 avant que le</w:t>
      </w:r>
    </w:p>
    <w:p>
      <w:r>
        <w:t>- 9 - couple ne se remette ensemble. La Haute Cour a également relevé que A.F.________ aurait aussi été violent avec sa précédente épouse, selon les déclarations de son fils à la police. Elle a considéré que les faits reprochés au recourant étaient graves et qu’ils démontraient une certaine gradation dans le processus de violences domestiques puisqu’il aurait tenté d'étrangler son épouse, aurait menacé de la tuer et aurait frappé son fils alors que celui-ci tentait de les séparer. Enfin, le Tribunal fédéral a relevé que ces faits étaient intervenus alors que le recourant faisait l'objet d'une procédure pénale en tant que prévenu d'infractions de même nature pour lesquelles le Ministère public envisageait de prononcer une condamnation (cf. TF 1B_339/2019 précité consid. 4.3). Deux mois plus tard, aucun élément ne vient remettre en cause cette appréciation. En outre, contrairement à ce que fait valoir le recourant, l’avis de prochaine condamnation qui lui a été adressé le 19 février 2019 dans le cadre de la procédure PE18.019473, désormais jointe à la présente affaire, ne concerne pas que « d’hypothétiques injures », puisque le Ministère public envisage notamment de retenir à son encontre qu’il a frappé I.________ et l’a menacée avec un couteau de cuisine au mois de janvier 2018, qu’il l’a à nouveau frappée au mois de mars ou avril 2018, qu’il l’a menacée avec un plat au mois de septembre 2018 et qu’il l’a poussée et tirée hors d’un véhicule le 12 décembre 2018 (P. 9/1). Au vu des nouvelles charges qui pèsent sur lui, cette première procédure ne semble pas l’avoir dissuadé de se montrer encore plus violent. Le simple fait qu’il déclare vouloir quitter le domicile conjugal ne permet pas de considérer qu’il ne risque pas de s’en prendre à nouveau à son épouse. On relèvera enfin que le Ministère public a ordonné la mise en œuvre d’une expertise psychiatrique à l’endroit de A.F.________, qui souffre d’un trouble psychiatrique invalidant depuis de nombreuses années (« trouble schizo- affectif de type dépressif » cf. P. 21/2) et nie les faits qui lui sont reprochés en considérant que son épouse serait « ensorcelée » (cf. PV aud. 2, R. 13 et PV aud. 3 ligne 77). Quatre entretiens sont d’ores et déjà fixés (cf. P. 42). Avant d’envisager une éventuelle remise en liberté, il convient d’attendre les conclusions de cette expertise sur le risque réel que représente le recourant pour son épouse et leur fils.</w:t>
      </w:r>
    </w:p>
    <w:p>
      <w:r>
        <w:t>- 10 - Partant, le risque de réitération demeure concret. Les conditions de l’art. 221 al. 1 CPP étant alternatives, l’existence de ce risque dispense la Cour de céans d’examiner si la détention provisoire du recourant s’impose également en raison d’un autre risque.</w:t>
      </w:r>
    </w:p>
    <w:p>
      <w:r>
        <w:rPr>
          <w:b/>
        </w:rPr>
        <w:t>E. 4.1</w:t>
      </w:r>
    </w:p>
    <w:p>
      <w:r>
        <w:t>Le recourant demande la mise en œuvre de mesures de substitution, sous la forme d’une interdiction de se rendre à son domicile, d’une assignation à résidence et d’une interdiction de prendre contact avec son épouse et leur fils. Ces mesures ainsi que les interdictions prononcées par le juge civil seraient suffisantes pour pallier le risque de réitération, le recourant ayant parfaitement intégré le fait que les relations personnelles avec son épouse et leur fils devaient être suspendues.</w:t>
      </w:r>
    </w:p>
    <w:p>
      <w:r>
        <w:rPr>
          <w:b/>
        </w:rPr>
        <w:t>E. 4.2</w:t>
      </w:r>
    </w:p>
    <w:p>
      <w:r>
        <w:t>Conformément au principe de la proportionnalité (cf.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w:t>
      </w:r>
    </w:p>
    <w:p>
      <w:r>
        <w:t>- 11 - (let. g). Du fait que les mesures de substitution – énumérées de manière non exhaustive à l'art. 237 al. 2 CPP (Moreillon/Parein-Reymond, Petit commentaire du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Schmocker, in : Kuhn/Jeanneret [éd.], Commentaire romand, Code de procédure pénale suisse, Bâle 2011, n. 2 ad art. 237 CPP).</w:t>
      </w:r>
    </w:p>
    <w:p>
      <w:r>
        <w:rPr>
          <w:b/>
        </w:rPr>
        <w:t>E. 4.3</w:t>
      </w:r>
    </w:p>
    <w:p>
      <w:r>
        <w:t>En l’occurrence, dans son arrêt du 26 juillet 2019, le Tribunal fédéral a considéré qu’aucune mesure de substitution n’était propre à réduire notamment le risque de réitération existant. En l'absence d’un rapport d'expertise sur cette question, il a estimé que le simple engagement de se tenir éloigné du domicile conjugal et de ne pas entrer en contact avec la plaignante et son fils n’était pas suffisant (cf. TF 1B_339/2019 précité consid. 5). Le recourant n’invoque aucun élément qui permettrait de modifier cette appréciation deux mois plus tard. On relèvera en outre qu’il a démontré qu’il n’était pas capable de respecter une interdiction de contact. En effet, au cours d’une conversation téléphonique qu’il a eue le 11 juillet 2019 avec sa première épouse, A.F.________ a demandé à celle-ci de faire en sorte que des tiers prennent contact avec I.________ afin de lui faire retirer sa plainte. Il a indiqué qu’il serait prêt à « accepter » de divorcer moyennant ce retrait (P. 37 et 38). Or, par ordonnance de mesures superprovisionnelles du 25 juin 2019, maintenues le 9 juillet 2019, il lui a été formellement interdit de prendre contact avec I.________, de quelque manière que ce soit, y compris par l’intermédiaire de tiers. Il savait en outre que sa détention provisoire était justifiée notamment par le risque qu’il tente d’influencer son épouse. Un tel comportement démontre le peu d’importance qu’il accorde aux injonctions des autorités et qu’il n’a manifestement pas pris conscience de la gravité des faits qui lui sont reprochés. Il convient de rappeler qu’il est soupçonné d’avoir frappé et étranglé son épouse sous les yeux de leur enfant, d’avoir</w:t>
      </w:r>
    </w:p>
    <w:p>
      <w:r>
        <w:t>- 12 - menacé de la tuer et d’avoir frappé son fils qui tentait de s’interposer. Vu la gravité des faits, il est justifié d’attendre les conclusions du rapport d’expertise avant d’examiner si des mesures de substitution à la détention provisoire sont envisageables.</w:t>
      </w:r>
    </w:p>
    <w:p>
      <w:r>
        <w:rPr>
          <w:b/>
        </w:rPr>
        <w:t>E. 5.1</w:t>
      </w:r>
    </w:p>
    <w:p>
      <w:r>
        <w:t>Invoquant enfin une violation du principe de la proportionnalité, le recourant fait valoir que la durée de la détention provisoire qu’il a subie excéderait la peine qu’il encourt et que « le chef de prévention de lésions corporelles simples ne saurait suffire à prolonger la mesure de détention ».</w:t>
      </w:r>
    </w:p>
    <w:p>
      <w:r>
        <w:rPr>
          <w:b/>
        </w:rPr>
        <w:t>E. 5.2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ATF 139 IV 270 consid. 3.1). Le fait que la peine encourue puisse être assortie du sursis, total ou partiel, n'est pas déterminant sous l'angle de la proportionnalité (ATF 133 I 270 consid. 3.4.2).</w:t>
      </w:r>
    </w:p>
    <w:p>
      <w:r>
        <w:rPr>
          <w:b/>
        </w:rPr>
        <w:t>E. 5.3</w:t>
      </w:r>
    </w:p>
    <w:p>
      <w:r>
        <w:t>Au regard de la gravité des accusations portées contre lui, qui ne sont pas constitutives que de lésions corporelles simples qualifiées comme il le soutient, mais également de mise en danger de la vie d’autrui, de contrainte, de menaces qualifiées et d’injure, le recourant s’expose concrètement à une peine privative de liberté nettement plus importante que la période de détention provisoire qu’il aura subie le 9 décembre 2019. Partant, le principe de la proportionnalité est respecté.</w:t>
      </w:r>
    </w:p>
    <w:p>
      <w:r>
        <w:t>- 13 -</w:t>
      </w:r>
    </w:p>
    <w:p>
      <w:r>
        <w:rPr>
          <w:b/>
        </w:rPr>
        <w:t>E. 6</w:t>
      </w:r>
    </w:p>
    <w:p>
      <w:r>
        <w:t>En définitive, le recours, manifestement mal fondé, doit être rejeté sans échange d'écritures (art. 390 al. 2 CPP) et l'ordonnance attaquée confirmée. Les frais de la procédure de recours, constitués de l’émolument d’arrêt, par 1’320 fr. (art. 20 al. 1 TFIP [Tarif des frais de procédure et indemnités en matière pénale du 28 septembre 2010 ; BLV 312.03.1]), ainsi que des frais imputables à la défense d’office (art. 422 al. 1 et 2 let. a CPP), fixés à 615 fr. 20, qui comprennent des honoraires par 560 fr., des débours forfaitaires par 11 fr. 20 (cf. art. 26b TFIP, qui renvoie à l'art. 3bis RAJ [Règlement sur l’assistance judiciaire en matière civile du 7 décembre 2010 ; BLV 211.02.3]) et la TVA sur le tout au taux de 7,7%, par 44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9 septembre 2019 est confirmée. III. L’indemnité allouée au défenseur d’office de A.F.________ est fixée à 615 fr. 20 (six cent quinze francs et vingt centimes). IV. Les frais d’arrêt, par 1’320 fr. (mille trois cent vingt francs), ainsi que l’indemnité due au défenseur d’office de A.F.________, par 615 fr. 20 (six cent quinze francs et vingt centimes), sont mis à la charge de ce dernier. V. Le remboursement à l'Etat de l'indemnité allouée au chiffre III ci-dessus ne sera exigible que pour autant que la situation financière de A.F.________ le permette.</w:t>
      </w:r>
    </w:p>
    <w:p>
      <w:r>
        <w:t>- 14 - VI. L’arrêt est exécutoire. Le président : La greffière : Du Le présent arrêt, dont la rédaction a été approuvée à huis clos, est notifié, par l'envoi d'une copie complète, à : - Me Amir Djafarrian, avocat (pour A.F.________), - Ministère public central, et communiqué à : - Mme la Présidente du Tribunal des mesures de contrainte, - Mme la Procureure de l’arrondissement de Lausanne, - Me Zakia Arnouni, avocate (pour I.________),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