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PE19.011160 vom 16. Oktober 2020</w:t>
      </w:r>
    </w:p>
    <w:p>
      <w:r>
        <w:t>VD Tribunal cantonal, 2020-10-16, FR</w:t>
      </w:r>
    </w:p>
    <w:p>
      <w:r>
        <w:rPr>
          <w:b/>
        </w:rPr>
        <w:t xml:space="preserve">Quelle: </w:t>
      </w:r>
      <w:r>
        <w:t>https://mcp.opencaselaw.ch/entscheid/vd_gerichte_PE19.011160</w:t>
      </w:r>
    </w:p>
    <w:p>
      <w:r>
        <w:t>FR: VD_GERICHTE PE19.011160 du 16 octobre 2020</w:t>
      </w:r>
    </w:p>
    <w:p>
      <w:r>
        <w:t>IT: VD_GERICHTE PE19.011160 del 16 ottobre 2020</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recours dirigé contre la décision de la direction de la procédure d’un tribunal de première instance refusant l’exécution anticipée de la peine est néanmoins recevable, dès lors qu’une telle décision touche les droits fondamentaux du prévenu et qu’elle est susceptible de lui causer un préjudice irréparable (cf. CREP 28 février 2014/160 consid. 1 et les références citées).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BLV 312.01]; art. 80 LOJV [Loi vaudoise d’organisation judiciaire du 12 décembre 1979; BLV 173.01]). En l’espèce, interjeté en temps utile auprès de l’autorité compétente par le prévenu qui a qualité pour recourir (art. 382 al. 1 CPP) et dans les formes prescrites (art. 385 al. 1 CPP), le recours est recevable.</w:t>
      </w:r>
    </w:p>
    <w:p>
      <w:r>
        <w:rPr>
          <w:b/>
        </w:rPr>
        <w:t>E. 2</w:t>
      </w:r>
    </w:p>
    <w:p>
      <w:r>
        <w:t>Le recourant invoque une violation de l’art. 236 CPP. Il soutient notamment qu’une première demande tendant à ce qu’il puisse exécuter sa peine de manière anticipée avait été rejetée en mars 2020, que les motifs invoqués pour justifier ce refus – soit la production du rapport final de police et l’audition récapitulative du prévenu – auraient désormais disparus, que le risque de collusion invoqué serait abstrait et que la</w:t>
      </w:r>
    </w:p>
    <w:p>
      <w:r>
        <w:t>- 5 - décision attaquée n’expliquerait aucunement en quoi un tel risque apparaîtrait concret.</w:t>
      </w:r>
    </w:p>
    <w:p>
      <w:r>
        <w:rPr>
          <w:b/>
        </w:rPr>
        <w:t>E. 2.1</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TF 1B_372/2019 du 27 août 2019 consid. 2.1).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le cas échéant, lui offrir de meilleures chances de resocialisation (ATF 143 IV 160 consid. 2.1; ATF 133 I 270 consid. 3.2.1; ATF 126 I 172 consid. 3a). La poursuite de la détention sous la forme de l'exécution anticipée de la peine présuppose tout d'abord l'existence d'un des motifs de détention provisoire prévus à l'art. 221 al. 1 let. a, b ou c CPP et sa durée doit respecter le principe de la proportionnalité (ATF 143 IV 160 précité;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L'art. 236 al. 1 in fine CPP suppose que le « stade de la procédure » concernée permette une exécution anticipée de la peine. Ce stade correspond au moment à partir duquel la présence du prévenu n'est</w:t>
      </w:r>
    </w:p>
    <w:p>
      <w:r>
        <w:t>- 6 -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1B_372/2019 précité; TF 1B_189/2014 du 28 juillet 2014 consid. 2.3 et les références citées).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1B_372/2019 précité; TF 1B_449/2015 du 15 janvier 2016 consid. 2.3).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1B_372/2019 précité; TF 1B_186/2018 du 8 mai 2018 consid. 2.1; TF 1B_400/2017 du 18 octobre 2017 consid. 2.1; TF 1B_127/2017 du 20 avril 2017 consid. 2.1).</w:t>
      </w:r>
    </w:p>
    <w:p>
      <w:r>
        <w:rPr>
          <w:b/>
        </w:rPr>
        <w:t>E. 2.2</w:t>
      </w:r>
    </w:p>
    <w:p>
      <w:r>
        <w:t>En l’espèce, l’enquête a été clôturée par un acte d’accusation. Le principe du transfert en exécution anticipée de peine est la règle, le risque de collusion invoqué pour un refus à un stade aussi avancé de la procédure ne pouvant être retenu que s’il existe un danger concret et sérieux de manœuvres propres à entraver la manifestation de la vérité. Dans un tel cas, le refus doit être précisément étayé et l’autorité doit également expliquer en quoi d’éventuelles mesures de restriction seraient insuffisantes (JdT 2017 III 146). Or, en l’occurrence, le premier juge n’explique aucunement en quoi le risque de collusion serait concret. Pour sa part, le Ministère public a renoncé à se déterminer sur le recours et les éléments invoqués dans son préavis défavorable du 10 septembre 2020 –</w:t>
      </w:r>
    </w:p>
    <w:p>
      <w:r>
        <w:t>- 7 - soit en particulier une reconnaissance insuffisante des faits par le prévenu – sont insuffisants à eux seuls. Il résulte d’ailleurs de l’acte d’accusation que les éléments recueillis en cours d’enquête, dont des données provenant de surveillances téléphoniques, des données extraites des téléphones portables des différents individus impliqués dans le réseau, des données provenant de surveillances policières et la cocaïne saisie, permettraient de confondre le prévenu. Ainsi, manifestement, à ce stade de la procédure et à une date aussi proche de l’audience de jugement, on voit mal comment le risque de collusion pourrait encore être considéré comme étant concret, ni même d’éventuelles mesures de restriction nécessaires.</w:t>
      </w:r>
    </w:p>
    <w:p>
      <w:r>
        <w:rPr>
          <w:b/>
        </w:rPr>
        <w:t>E. 3</w:t>
      </w:r>
    </w:p>
    <w:p>
      <w:r>
        <w:t>Au vu de ce qui précède, le recours doit être admis et la décision attaquée réformée, en ce sens que P.________ est autorisé à exécuter sa peine de manière anticipée dès qu’une place sera disponible dans un établissement approprié. Vu l’issue de la cause, les frais de la procédure de recours, constitués de l’émolument d’arrêt, par 770 fr. (art. 20 al. 1 TFIP [tarif des frais de procédure et indemnités en matière pénale du 28 septembre 2010; BLV 312.03.1]), ainsi que des frais imputables à la défense d’office (art. 422 al. 1 et 2 let. a CPP), fixés à 593 fr. – qui comprennent des honoraires par 540 fr. (3 heures d’activité au tarif horaire de 180 fr.), des débours forfaitaires par 10 fr. 80 (cf. art. 26b TFIP qui renvoie à l'art. 3bis RAJ [règlement sur l’assistance judiciaire en matière civile du 7 décembre 2010; BLV 211.02.3]) et la TVA sur le tout, au taux de 7,7%, par 42 fr. 40 –, seront laissés à la charge de l’Etat (art. 423 al. 1 CPP).</w:t>
      </w:r>
    </w:p>
    <w:p>
      <w:r>
        <w:t>- 8 - Par ces motifs, la Chambre des recours pénale prononce : I. Le recours est admis. II. La décision du 11 septembre 2020 est réformée en ce sens que P.________ est autorisé à passer en mode d’exécution de peine de manière anticipée, dès qu’une place sera disponible dans un établissement approprié. III. L'indemnité allouée au défenseur d'office de P.________ est fixée à 593 fr. (cinq cent nonante-trois francs). IV. Les frais d’arrêt, par 770 fr. (sept cent septante francs), ainsi que l’indemnité due au défenseur d’office de P.________, par 593 fr. (cinq cent nonante-trois francs), sont laissés à la charge de l'Etat. V. L’arrêt est exécutoire. Le président : Le greffier : Du Le présent arrêt, dont la rédaction a été approuvée à huis clos, est notifié, par l'envoi d'une copie complète, à : - Me Karine Stewart Harris, avocate (pour P.________), - Ministère public central,</w:t>
      </w:r>
    </w:p>
    <w:p>
      <w:r>
        <w:t>- 9 - et communiqué à : - M. le Président du Tribunal correctionnel de l’arrondissement de Lausanne, - Mme la Procureure cantonale Strada, - Direction de la prison de la Promenade,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