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PE19.011045 vom 14. Februar 2020</w:t>
      </w:r>
    </w:p>
    <w:p>
      <w:r>
        <w:t>VD Tribunal cantonal, 2020-02-14, FR</w:t>
      </w:r>
    </w:p>
    <w:p>
      <w:r>
        <w:rPr>
          <w:b/>
        </w:rPr>
        <w:t xml:space="preserve">Quelle: </w:t>
      </w:r>
      <w:r>
        <w:t>https://mcp.opencaselaw.ch/entscheid/vd_gerichte_PE19.011045</w:t>
      </w:r>
    </w:p>
    <w:p>
      <w:r>
        <w:t>FR: VD_GERICHTE PE19.011045 du 14 février 2020</w:t>
      </w:r>
    </w:p>
    <w:p>
      <w:r>
        <w:t>IT: VD_GERICHTE PE19.011045 del 14 febbraio 2020</w:t>
      </w:r>
    </w:p>
    <w:p>
      <w:pPr>
        <w:pStyle w:val="Heading2"/>
      </w:pPr>
      <w:r>
        <w:t>Erwägungen</w:t>
      </w:r>
    </w:p>
    <w:p>
      <w:r>
        <w:rPr>
          <w:b/>
        </w:rPr>
        <w:t>E. 1</w:t>
      </w:r>
    </w:p>
    <w:p>
      <w:r>
        <w:t>CPP) et dans les formes prescrites (art. 385 CPP), le recours est recevable. Il en est de même des pièces produites par le recourant, dont certaines se trouvaient au surplus déjà au dossier (art. 389 al. 3 CPP ; cf. TF 6B_654/2013 du 31 octobre 2013 consid. 2.2-2.3 ; TF 6B_509/2012 du 22 novembre 2012 consid. 3.2 ; CREP 3 décembre 2018/938 consid. 1 ; CREP 12 mars 2018/186 consid. 1).</w:t>
      </w:r>
    </w:p>
    <w:p>
      <w:r>
        <w:t>- 4 -</w:t>
      </w:r>
    </w:p>
    <w:p>
      <w:r>
        <w:rPr>
          <w:b/>
        </w:rPr>
        <w:t>E. 2</w:t>
      </w:r>
    </w:p>
    <w:p>
      <w:r>
        <w:t>Conformément à l'art. 310 al. 1 let. a CPP, le ministère public rend immédiatement – c'est-à-dire sans qu'une instruction soit ouverte (art. 309 al. 1 et 4 CPP ; TF 1B_111/2012 du 5 avril 2012 consid. 2.1 ; Grodecki/Cornu, in : Jeanneret/Kuhn/Perrier Depeursinge [éd.],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Dans cette mesure, le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s’applique sous l’angle de l’art. 310 CPP (Grodecki/Cornu, op. cit., n. 10b ad art. 310 CPP).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- 5 -</w:t>
      </w:r>
    </w:p>
    <w:p>
      <w:r>
        <w:rPr>
          <w:b/>
        </w:rPr>
        <w:t>E. 3.1</w:t>
      </w:r>
    </w:p>
    <w:p>
      <w:r>
        <w:t>Le recourant soutient que la pièce qui lui avait été facturée n’aurait pas été celle qui lui avait été fournie, ce qui constituerait une tromperie. Il fait valoir que la réparation avait été effectuée le 23 janvier 2018, mais que le bon de livraison de la pièce qui lui avait prétendument été fournie serait daté du 12 mars 2018. Le recourant soutient que cet élément permettrait de soupçonner Z.________ d’avoir installé un moyeu NSK au lieu d’un moyeu SNR et d’avoir créé, en toute connaissance, un titre faux en émettant une facture pour l’installation d’un moyeu SNR. Le fait que Z.________ lui avait livré un nouveau moyeu neuf en février 2019, alors qu’il lui aurait préalablement dit qu’il refusait cette solution, prouverait, selon le recourant, que Z.________ mentirait et qu’il se serait rendu coupable des infractions pénales qui lui sont reprochées. Le recourant reproche par ailleurs au garagiste d’avoir falsifié le carnet d’entretien daté du 9 février 2016, n’ayant pas réalisé les opérations qui y sont indiquées et figurant sur la facture du 9 février 2016, notamment la vérification de l’état du disque de frein et la purge du liquide de frein, ce qui aurait mis en péril sa sécurité ou celle d’autrui.</w:t>
      </w:r>
    </w:p>
    <w:p>
      <w:r>
        <w:rPr>
          <w:b/>
        </w:rPr>
        <w:t>E. 3.2.1</w:t>
      </w:r>
    </w:p>
    <w:p>
      <w:r>
        <w:t>Se rend coupable d’escroquerie, au sens de l’art. 146 al. 1 CP (Code pénal suisse du 21 décembre 137 ; RS 311.0), celui qui, dans le dessein de se procurer ou de procurer à un tiers un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ou à ceux d’un tiers.</w:t>
      </w:r>
    </w:p>
    <w:p>
      <w:r>
        <w:rPr>
          <w:b/>
        </w:rPr>
        <w:t>E. 3.2.2</w:t>
      </w:r>
    </w:p>
    <w:p>
      <w:r>
        <w:t>Commet un faux dans les titres, au sens de l’art. 251 ch. 1 CP, celui qui, dans le dessein de porter atteinte aux intérêts pécuniaires ou aux droits d’autrui, ou de se procurer ou de procurer à un tiers un avantage illicite, crée un titre faux, falsifie un titre, abuse de la signature</w:t>
      </w:r>
    </w:p>
    <w:p>
      <w:r>
        <w:t>- 6 - ou de la marque à la main réelles d’autrui pour fabriquer un titre supposé, ou constate ou fait constater faussement, dans un titre, un fait ayant une portée juridique, ou qui fait, pour tromper autrui, usage d’un tel titre. Sont des titres tous les écrits destinés et propres à prouver un fait ayant une portée juridique et tous les signes destinés à prouver un tel fait (art. 110 al. 5, 1re phrase, CP). Une facture constitue un titre en vue d’établir que son auteur a bien réclamé à son destinataire et pour la cause indiquée le paiement du montant indiqué ; mais elle n’est pas propre à prouver le bien-fondé de la réclamation et ne constitue pas un titre censé faire foi de la contre-prestation de l’auteur de la facture (cf. Dupuis/Moreillon et alii [éd.], Petit commentaire CP, 2e éd., Bâle 2017, n. 25 ad art. 110).</w:t>
      </w:r>
    </w:p>
    <w:p>
      <w:r>
        <w:rPr>
          <w:b/>
        </w:rPr>
        <w:t>E. 3.2.3</w:t>
      </w:r>
    </w:p>
    <w:p>
      <w:r>
        <w:t>Se rend coupable de mise en danger de la vie d’autrui, au sens de l’art. 129 CP, celui qui, sans scrupules, met autrui en danger de mort imminent. Ce danger doit être concret et pouvoir se réaliser avec un certain degré de probabilité (Dupuis et alii, op. cit., n. 7 ad art. 129 p. 838).</w:t>
      </w:r>
    </w:p>
    <w:p>
      <w:r>
        <w:rPr>
          <w:b/>
        </w:rPr>
        <w:t>E. 3.3</w:t>
      </w:r>
    </w:p>
    <w:p>
      <w:r>
        <w:t>En l’espèce, lors de son audition par la police le 23 mai 2019, Z.________ a produit une copie d’un bulletin de livraison du 23 janvier 2018, ayant pour objet un moyeu de roue R154.56 pour une VW Golf qu’il avait commandé le jour même (cf. PV aud. 4, annexe). Les investigations policières indiquent donc que Z.________ a bien procédé le 23 janvier 2018 à la pose d’un moyeu de roue SNR sur une VW Golf. Compte tenu de ce fait, la Chambre de céans ne discerne pas comment ni pour quel motif Z.________ pourrait avoir trompé intentionnellement et astucieusement le recourant. Si, comme l’hypothèse en a été évoquée lors de l’enquête de police, il apparaissait que Z.________ avait, par erreur, changé le moyeu de la roue avant-gauche au lieu du moyeu de la roue avant-droite, cette négligence ne constituerait pas une escroquerie. Le défaut qui en résulterait devrait être invoqué par le recourant dans un procès civil fondé sur les dispositions relatives à la garantie pour les défauts (art. 367 ss CO [Code des obligations du 30 mars 1911 ; RS 220]).</w:t>
      </w:r>
    </w:p>
    <w:p>
      <w:r>
        <w:t>- 7 - Au demeurant, la facture émise le 4 mars 2018 ne constitue pas un titre destiné à prouver l’exécution de la réparation facturée, de sorte qu’en toute hypothèse, l’établissement de cette facture ne tombe pas sous le coup de l’art. 251 CP. Il en va de même pour la facture établie pour la purge du liquide de frein le 9 février 2016. Au surplus, rien n’indique que cette opération n’aurait pas été effectuée, tel qu’indiqué dans le carnet d’entretien daté du même jour. Enfin, à supposer que Z.________ ait effectivement omis de procéder à cette opération, rien n’indique qu’il aurait ainsi exposé le recourant à un danger concret de mort imminent, au sens de l’art. 129 CP. De toute manière, la plainte ne porte pas sur ces faits datant de 2016 et ces griefs sont donc irrecevables en procédure de recours. En définitive, c’est à bon droit que le Ministère public a refusé d’entrer en matière sur la plainte.</w:t>
      </w:r>
    </w:p>
    <w:p>
      <w:r>
        <w:rPr>
          <w:b/>
        </w:rPr>
        <w:t>E. 4</w:t>
      </w:r>
    </w:p>
    <w:p>
      <w:r>
        <w:t>Il résulte de ce qui précède que le recours doit être rejeté dans la mesure où il est recevable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383 al. 1 CPP ; art. 7 TFIP ; CREP 10 janvier 2020/22 consid. 5).</w:t>
      </w:r>
    </w:p>
    <w:p>
      <w:r>
        <w:t>- 8 - Par ces motifs, la Chambre des recours pénale prononce : I. Le recours est rejeté dans la mesure où il est recevable. II. L’ordonnance du 19 juillet 2019 est confirmée. III. Les frais d’arrêt, par 770 fr. (sept cent septante francs), sont mis à la charge de W.________. IV. L’avance de frais de 550 fr. (cinq cent cinquante francs) versée par le recourant à titre de sûretés est imputées sur les frais mis à sa charge au chiffre III ci-dessus. V. L’arrêt est exécutoire. Le président : La greffière : Du Le présent arrêt, dont la rédaction a été approuvée à huis clos, est notifié, par l'envoi d'une copie complète, à : - W.________, - Ministère public central, et communiqué à : - Mme la Procureure de l’arrondissement de La Côte, - Me Marc Cheseaux, avocat (pour W.________), - Z.________,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