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PE19.010819 vom 15. September 2020</w:t>
      </w:r>
    </w:p>
    <w:p>
      <w:r>
        <w:t>VD Tribunal cantonal, 2020-09-15, FR</w:t>
      </w:r>
    </w:p>
    <w:p>
      <w:r>
        <w:rPr>
          <w:b/>
        </w:rPr>
        <w:t xml:space="preserve">Quelle: </w:t>
      </w:r>
      <w:r>
        <w:t>https://mcp.opencaselaw.ch/entscheid/vd_gerichte_PE19.010819</w:t>
      </w:r>
    </w:p>
    <w:p>
      <w:r>
        <w:t>FR: VD_GERICHTE PE19.010819 du 15 septembre 2020</w:t>
      </w:r>
    </w:p>
    <w:p>
      <w:r>
        <w:t>IT: VD_GERICHTE PE19.010819 del 15 settembre 2020</w:t>
      </w:r>
    </w:p>
    <w:p>
      <w:pPr>
        <w:pStyle w:val="Heading2"/>
      </w:pPr>
      <w:r>
        <w:t>Erwägungen</w:t>
      </w:r>
    </w:p>
    <w:p>
      <w:r>
        <w:rPr>
          <w:b/>
        </w:rPr>
        <w:t>E. 1</w:t>
      </w:r>
    </w:p>
    <w:p>
      <w:r>
        <w:t>CPP), le recours formé par M.________ est recevable.</w:t>
      </w:r>
    </w:p>
    <w:p>
      <w:r>
        <w:rPr>
          <w:b/>
        </w:rPr>
        <w:t>E. 2.1</w:t>
      </w:r>
    </w:p>
    <w:p>
      <w:r>
        <w:t>Le recourant soutient qu’il s’agirait d’un cas de défense obligatoire, puisqu’il est prévenu de blanchiment d’argent et qu’il s’exposerait à une peine privative de liberté de plus d’un an. Il conteste également l’établissement de sa situation financière opérée par la Procureure, faisant valoir que deux postes de charges mensuelles n’auraient pas été pris en compte, soit le leasing de son véhicule, par 483 fr. 55, et des cotisations de prévoyance, par 318 fr. et 239 francs. Il en résulterait un total de charges de 5'191 fr. 65, soit un disponible de 201 fr. 65 seulement, ce qui ne lui permettrait pas de s’acquitter des frais de justice et d’avocat. En outre, sa fortune s’établirait à 7'720 fr. 95 seulement.</w:t>
      </w:r>
    </w:p>
    <w:p>
      <w:r>
        <w:rPr>
          <w:b/>
        </w:rPr>
        <w:t>E. 2.2.1</w:t>
      </w:r>
    </w:p>
    <w:p>
      <w:r>
        <w:t>Aux termes de l'art. 130 CPP, le prévenu doit avoir un défenseur notamment dans les cas où la détention provisoire, y compris la durée de l’arrestation provisoire, a excédé dix jours (let. a), dans les cas</w:t>
      </w:r>
    </w:p>
    <w:p>
      <w:r>
        <w:t>- 4 -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2e éd., Bâle 2014, n. 18 ad art. 130 CPP ; Harari/Aliberti, in : Jeanneret/Kuhn/Perrier Depeursinge [éd.], Commentaire romand, Code de procédure pénale suisse, 2e éd., Bâle 2019 [ci-après : CR CPP], n. 23 ad art. 130 CPP et réf. cit.).</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La deuxième condition s'interprète à l'aune des critères mentionnés à l'art. 132 al. 2 et 3 CPP. Aux termes de l’art. 132 al. 2 CPP, une défense d’office aux fins de protéger les intérêts du prévenu indigent</w:t>
      </w:r>
    </w:p>
    <w:p>
      <w:r>
        <w:t>- 5 -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1B_9/2020 du 6 mai 2020 consid. 2.1 ; TF 1B_12/2020 du 24 janvier 2020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1B_12/2020 précité consid. 3.1).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 TF 1B_210/2019 du 29 juillet 2019 consid. 2.1). En revanche, dans les « cas bagatelle » – soit, selon le</w:t>
      </w:r>
    </w:p>
    <w:p>
      <w:r>
        <w:t>- 6 - Tribunal fédéral, ceux dans lesquels il ne risque qu'une peine de courte durée ou une amende –, le prévenu n'a pas, même s'il est indigent, de droit constitutionnel à la désignation d'un défenseur d'office gratuit (ATF 143 I 164 consid. 3.5).</w:t>
      </w:r>
    </w:p>
    <w:p>
      <w:r>
        <w:rPr>
          <w:b/>
        </w:rPr>
        <w:t>E. 2.3</w:t>
      </w:r>
    </w:p>
    <w:p>
      <w:r>
        <w:t>En l’espèce, la question de la prise en compte du leasing du recourant et de ses cotisations de prévoyance dans ses charges mensuelles peut demeurer ouverte pour les raisons qui suivent. Le revenu du recourant comprend un treizième salaire, ainsi qu’un revenu accessoire ; c’est ce qui ressort du dossier constitué en Valais et des pièces produites par le recourant, notamment sa taxation 2019 (P. 11/6). Le total annuel des revenus de l’activité du recourant (principale et accessoire) s’établit, une fois les frais professionnels déduits, à 71'478 fr., soit 5'956 fr. 50 par mois, ce qui laisse – même si l’on tient compte des trois postes de charges invoqués qui totalisent 1'040 fr. 55 – un disponible de 765 fr. 45 par mois, respectivement 9'185 fr. 40 par an, pour acquitter d’éventuels frais d’avocat (5'956 fr. 50 – 4'150 fr. 50 – 1'040 fr. 55). Un tel montant annuel paraît suffisant, au vu de l’absence de complexité de la cause. De toute manière, contrairement à ce que soutient le recourant, il ne se trouve manifestement pas dans un cas de défense obligatoire, ni du reste dans un autre cas de défense d’office. En effet, contrairement à ce qu’il croit, il n’est pas passible d’une peine supérieure à quatre mois de peine privative de liberté, n’ayant pas d’antécédent, selon l’extrait du casier judiciaire au dossier ; de plus, les gains provenant d’une éventuelle infraction de blanchiment d’argent ne semblent pas avoir été importants. Par ailleurs, la cause est simple en fait, puisqu’elle ne porte que sur quatre montants que le recourant expose lui-même avoir été convaincu de verser à l’instigation d’une tierce personne avec laquelle il entretenait une relation amoureuse sur internet (P. 9). La cause ne présente pas non plus de difficulté juridique particulière que le prévenu ne pourra pas surmonter seul. Le recourant est de nationalité suisse et de langue française. Enfin, le recourant ne fait pas valoir de circonstances</w:t>
      </w:r>
    </w:p>
    <w:p>
      <w:r>
        <w:t>- 7 - personnelles spéciales, en particulier que l’issue de la procédure pénale aurait pour lui une importance particulière, comme l’exige la jurisprudence précitée. La désignation d’un défenseur d’office ne se justifie pas non plus sous l’angle de l’égalité des parties, la procédure pénale ayant lieu d’office. En conclusion, à supposer même que le recourant ait apporté la preuve de son indigence – ce qui n’est pas le cas –, les conditions de l’art. 132 al. 2 CPP relatives à l’absence de difficulté, respectivement à l’absence de gravité de la cause, ne sont pas réunies. C’est donc à bon droit que la Procureure a refusé de désigner un défenseur d’office au recourant, quand bien même d’autres motifs avaient été retenus.</w:t>
      </w:r>
    </w:p>
    <w:p>
      <w:r>
        <w:rPr>
          <w:b/>
        </w:rPr>
        <w:t>E. 3</w:t>
      </w:r>
    </w:p>
    <w:p>
      <w:r>
        <w:t>Au vu de ce qui précède, le recours, manifestement mal fondé, doit être rejeté sans échange d’écritures (art. 390 al. 2 CPP) et l'ordonnance attaquée confirmée. Les frais d'arrêt, par 770 fr. (art. 20 al. 1 TFIP [tarif des frais de procédure et indemnités en matière pénale du 28 septembre 2010 ; BLV 312.03.1]), seront mis à la charge du recourant, qui succombe (art. 428 al. 1 CPP). La défense d’office ne se justifiant pas en première instance, il n’y a pas lieu de l’envisager pour la procédure de recours. De toute manière, le recourant n’a pas sollicité la désignation de Me Etienne Monnier en qualité de défenseur d’office pour la procédure de recours.</w:t>
      </w:r>
    </w:p>
    <w:p>
      <w:r>
        <w:t>- 8 - Par ces motifs, la Chambre des recours pénale prononce : I. Le recours est rejeté. II. L’ordonnance du 21 août 2020 est confirmée. III. Les frais d’arrêt, par 770 fr. (sept cent septante francs), sont mis à la charge de M.________. IV. L’arrêt est exécutoire. Le président : La greffière : Du Le présent arrêt, dont la rédaction a été approuvée à huis clos, est notifié, par l'envoi d'une copie complète, à : - Me Etienne Monnier, avocat (pour M.________),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