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PE19.010591 vom 27. August 2019</w:t>
      </w:r>
    </w:p>
    <w:p>
      <w:r>
        <w:t>VD Tribunal cantonal, 2019-08-27, FR</w:t>
      </w:r>
    </w:p>
    <w:p>
      <w:r>
        <w:rPr>
          <w:b/>
        </w:rPr>
        <w:t xml:space="preserve">Quelle: </w:t>
      </w:r>
      <w:r>
        <w:t>https://mcp.opencaselaw.ch/entscheid/vd_gerichte_PE19.010591</w:t>
      </w:r>
    </w:p>
    <w:p>
      <w:r>
        <w:t>FR: VD_GERICHTE PE19.010591 du 27 août 2019</w:t>
      </w:r>
    </w:p>
    <w:p>
      <w:r>
        <w:t>IT: VD_GERICHTE PE19.010591 del 27 agosto 2019</w:t>
      </w:r>
    </w:p>
    <w:p>
      <w:pPr>
        <w:pStyle w:val="Heading2"/>
      </w:pPr>
      <w:r>
        <w:t>Erwägungen</w:t>
      </w:r>
    </w:p>
    <w:p>
      <w:r>
        <w:rPr>
          <w:b/>
        </w:rPr>
        <w:t>E. 1.1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let. a et b CPP).</w:t>
      </w:r>
    </w:p>
    <w:p>
      <w:r>
        <w:rPr>
          <w:b/>
        </w:rPr>
        <w:t>E. 1.3</w:t>
      </w:r>
    </w:p>
    <w:p>
      <w:r>
        <w:t>Interpellé le 28 mai 2019, S.________ a tout d’abord été détenu au CGM de la Blécherette pendant quinze jours, avant d’être transféré, le 11 juin 2019, à la prison du Bois-Mermet, où il a été détenu provisoirement jusqu’au 27 août 2019. Selon le rapport établi par la direction de la prison du Bois- Mermet en date du 6 août 2019, le comportement et l’attitude de S.________ envers le personnel de surveillance et vis-à-vis de ses codétenus étaient corrects. Il se conformait aux règles ainsi qu’au cadre fixés par l’institution. Respectueux du matériel mis à sa disposition, il satisfaisait en outre aux règles de propreté en cellule et son hygiène personnelle était bonne. Il participait régulièrement aux sports et loisirs et se rendait souvent à la promenade. Au vu de la courte durée de son séjour, son accès au travail n’avait pas été évalué et il n’avait pas eu l’occasion de rencontrer le personnel du secteur socio-éducatif. Il est encore indiqué que S.________ n’avait reçu qu’une seule visite de son avocat et n’avait passé que peu d’appels téléphoniques à ses proches.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- 6 -</w:t>
      </w:r>
    </w:p>
    <w:p>
      <w:r>
        <w:rPr>
          <w:b/>
        </w:rPr>
        <w:t>E. 3</w:t>
      </w:r>
    </w:p>
    <w:p>
      <w:r>
        <w:t>Seule est litigieuse la question de l’importance de la réduction de peine opérée par le premier juge à titre de réparation du tort moral subi en raison de l’incarcération du prévenu dans des conditions illicites.</w:t>
      </w:r>
    </w:p>
    <w:p>
      <w:r>
        <w:rPr>
          <w:b/>
        </w:rPr>
        <w:t>E. 3.1</w:t>
      </w:r>
    </w:p>
    <w:p>
      <w:r>
        <w:t>Le Ministère public reproche au premier juge d’avoir opéré une réduction de peine d’un jour pour trois jours passés par le prévenu dans des conditions illicites de détention à la prison du Bois-Mermet. A titre principal, il soutient que la durée de l’incarcération du prévenu dans de telles conditions ne serait pas suffisante pour justifier une réduction de peine. A titre subsidiaire, il fait valoir qu’une réduction de peine d’un jour pour cinq jours passés en détention dans des conditions illicites à la prison du Bois-Mermet constituerait une réparation adéquate du tort moral subi par le prévenu.</w:t>
      </w:r>
    </w:p>
    <w:p>
      <w:r>
        <w:rPr>
          <w:b/>
        </w:rPr>
        <w:t>E. 3.2.1</w:t>
      </w:r>
    </w:p>
    <w:p>
      <w:r>
        <w:t>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w:t>
      </w:r>
    </w:p>
    <w:p>
      <w:r>
        <w:t>- 7 - Pour le domaine spécifique de la détention, la Suisse a ratifié, le 7 octobre 1988, la Convention européenne de 1987 pour la prévention de la torture et des peines ou traitements inhumains ou dégradants (RS 0.106). L'article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le chauffage et l’aération (18.1). Les fenêtres doivent être suffisamment grandes pour que les détenus puissent lire et travailler à la lumière naturelle dans des conditions normales, et pour permettre l'entrée d'air frais, sauf s'il existe un système de climatisation approprié (art. 18.2.a) ; la lumière artificielle doit être conforme aux normes techniques reconnues en la matière (art. 18.2.b) ; les locaux d'une prison doivent être maintenus en état et propres à tout moment (art. 19.1) ; les détenus doivent jouir d'un accès facile à des installations sanitaires hygiéniques et protégeant leur intimité (art. 19.3) ; les installations de bain et de douche doivent être suffisantes pour que chaque détenu puisse les utiliser à une température adaptée au climat (art. 19.4) ; chaque détenu doit disposer d'un lit séparé et d'une literie individuelle convenable, entretenue correctement et renouvelée à des intervalles suffisamment rapprochés pour en assurer la propreté (art. 21) ; la nourriture doit être préparée et servie dans des conditions</w:t>
      </w:r>
    </w:p>
    <w:p>
      <w:r>
        <w:t>- 8 - hygiéniques (art. 22.3) et les détenus doivent avoir accès à tout moment à l'eau potable (art. 22.5). Tout détenu doit avoir l'opportunité, si le temps le permet, d'effectuer au moins une heure par jour d'exercice en plein air (art. 27.1).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 ces conditions d'hébergement doivent cependant être modulées en fonction des résultats d'analyses plus approfondies du système pénitentiaire. Le nombre d'heures passées en dehors de la cellule doit être pris en compte.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 3.2 ; ATF 139 IV 41 consid. 3.2 ; ATF 123 I 112 consid. 4d/cc).</w:t>
      </w:r>
    </w:p>
    <w:p>
      <w:r>
        <w:rPr>
          <w:b/>
        </w:rPr>
        <w:t>E. 3.2.2</w:t>
      </w:r>
    </w:p>
    <w:p>
      <w:r>
        <w:t>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w:t>
      </w:r>
    </w:p>
    <w:p>
      <w:r>
        <w:t>- 9 -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précité consid. 3.6.3 ; TF 1B_325/2017 du 14 novembre 2017 consid. 3.3). Depuis lors, le Tribunal fédéral – s'inspirant également de la jurisprudence de la Cour européenne des droits de l'homme (cf. arrêts cités à l'ATF 140 I 125 précité consid. 3.4 ; TF 1B_325/2017 précité)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w:t>
      </w:r>
    </w:p>
    <w:p>
      <w:r>
        <w:t>- 10 -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précité consid. 2 et les références citées ; TF 1B_325/2017 précité ; TF 6B_456/2015 du 21 mars 2016 consid. 2.1). En principe, si la surface disponible dépasse 4 m2, les conditions de détention ne sont pas illicites. S'agissant de la prison vaudoise du Bois-Mermet, le Tribunal fédéral a précisé que, lors du calcul de la surface individuelle à disposition de chaque détenu, la surface des installations sanitaires se trouvant dans la cellule devait être retranchée (TF 1B_325/2017 précité ; TF 1B_70/2016 du 24 juin 2016 consid. 3.4).</w:t>
      </w:r>
    </w:p>
    <w:p>
      <w:r>
        <w:rPr>
          <w:b/>
        </w:rPr>
        <w:t>E. 3.3</w:t>
      </w:r>
    </w:p>
    <w:p>
      <w:r>
        <w:t>; CAPE 28 mars 2019/92 consid. 5.2 et les références citées, notamment CAPE 18 août 2016/357 consid. 4.2 ; CAPE 18 novembre 2013 consid. 4.2).</w:t>
      </w:r>
    </w:p>
    <w:p>
      <w:r>
        <w:rPr>
          <w:b/>
        </w:rPr>
        <w:t>E. 3.3.1</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Il appartient ensuite à l'autorité de jugement d'examiner les possibles conséquences des violations constatées, par exemple par le biais d'une indemnisation fondée sur l'art. 431 CPP ou, le cas échéant, par une réduction de la peine (ATF 142 IV 245 consid. 4.1 et les références</w:t>
      </w:r>
    </w:p>
    <w:p>
      <w:r>
        <w:t>- 11 - citées ; TF 6B_352/2018 du 27 juillet 2018 consid. 6.5.1 ; TF 6B_1395/2016 du 27 octobre 2017 consid. 1.1). La Cour européenne des droits de l'Homme a en effet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8 octobre 2015/387 consid. 2.2 ; CAPE 10 octobre 2014/300 consid. 2.2).</w:t>
      </w:r>
    </w:p>
    <w:p>
      <w:r>
        <w:rPr>
          <w:b/>
        </w:rPr>
        <w:t>E. 3.3.2</w:t>
      </w:r>
    </w:p>
    <w:p>
      <w:r>
        <w:t>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dès lors que l’incarcération était justifiée dans son principe (CAPE 17 avril 2019/174 consid. 11.1 ; CAPE 24 octobre 2014/248 consid. 11.2 ; cf. TF 6B_137/2016 du 1er décembre 2016).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précité ; TF 6B_1395/2016 précité et les références citées). Ainsi, la Haute Cour n’a jamais fixé de ratio strict en la matière et a déjà admis des réductions de</w:t>
      </w:r>
    </w:p>
    <w:p>
      <w:r>
        <w:t>- 12 - peine correspondant à un cinquième, un quart, un tiers, voire à la moitié du nombre de jours passés dans des conditions de détention illicites (cf. ATF 142 IV 245 précité consid. 4.3 ; TF 6B_458/2019 et TF 6B_459/2019 précités et les références citées ; TF 6B_1243/2016 précité).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m2, il y a lieu de réduire la peine d’un cinquième de la période passée dans de telles conditions. Il en va de même lorsque la surface nette individuelle se situe entre 3 m2 et 4 m2,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m2 et que l’une des circonstances aggravantes susmentionnées est réalisée, ou lorsque la surface se situe entre 3 m2 et 4 m2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m2 et que plusieurs autres circonstances aggravantes sont remplies. S’agissant du critère de la durée de la détention, la circonstance aggravante est réalisée dès le 91e jour et justifie depuis lors une réduction.</w:t>
      </w:r>
    </w:p>
    <w:p>
      <w:r>
        <w:t>- 13 - Pour tenir compte de la pénibilité accrue d’une détention dans la zone carcérale du centre de la Blécherette ou de l’Hôtel de police de Lausanne, il y a lieu d’opérer une réduction d’un jour de peine pour deux jours de détention au-delà des premières 48 heures sans qu’il soit nécessaire de se fonder sur un constat, dans la mesure où il est notoire que les cellules dans ces locaux sont notamment dépourvues de fenêtres, que la literie y est limitée et que l’accès à la promenade, aux soins et aux loisirs y est restreint (ATF 140 I 246 consid. 2.4.2 ; ATF 139 IV 41 consid.</w:t>
      </w:r>
    </w:p>
    <w:p>
      <w:r>
        <w:rPr>
          <w:b/>
        </w:rPr>
        <w:t>E. 3.4.1</w:t>
      </w:r>
    </w:p>
    <w:p>
      <w:r>
        <w:t>Dans le cas d’espèce, le prévenu a tout d’abord été détenu au Centre de gendarmerie mobile de la Blécherette du 28 mai au 11 juin 2019, soit pendant quinze jours. Compte tenu de la jurisprudence susmentionnée et de l’illicéité notoire des conditions de détention dans ces locaux, une réduction d’un jour de peine pour deux jours de détention au-delà des premières 48 heures s’impose, de sorte que c’est à juste titre que le premier juge a retenu que les treize jours passés dans des conditions illicites de détention au Centre de la Blécherette justifiaient une réduction de peine de sept jours à titre de réparation du tort moral.</w:t>
      </w:r>
    </w:p>
    <w:p>
      <w:r>
        <w:rPr>
          <w:b/>
        </w:rPr>
        <w:t>E. 3.4.2</w:t>
      </w:r>
    </w:p>
    <w:p>
      <w:r>
        <w:t>Le prévenu a ensuite été détenu à la prison du Bois-Mermet entre le 11 juin et le 27 août 2019, soit durant 78 jours. Par ordonnance du 26 août 2019, le Tribunal des mesures de contrainte a constaté que les conditions dans lesquelles s’était déroulée la détention avant jugement du prévenu au sein de cet établissement entre le 11 juin et le 26 août 2019 étaient illicites. Cette autorité a relevé, sur la base du rapport de la direction de la prison du Bois-Mermet du 5 août 2019, que l’intéressé avait occupé la cellule n° [...] du 11 juin au 5 juillet 2019, puis la cellule n° [...]. Elle a constaté que si la surface nette – de 9.16 m2 – de ces cellules, que l’appelant avait partagées avec un</w:t>
      </w:r>
    </w:p>
    <w:p>
      <w:r>
        <w:t>- 14 - codétenu, représentait une surface individuelle légèrement supérieure au minimum souhaitable de 4 m2, la surface disponible n’était que de 7.66 m2 après déduction de la surface dédiée aux sanitaires, qui pouvait être estimée à 1.5 m2. Le Tribunal des mesures de contrainte a en outre relevé que les sanitaires de ces cellules n’étaient pas séparés par des cloisons solides, mais uniquement par des rideaux ignifuges, et que l’appelant était détenu sous le régime de détention avant jugement, de sorte qu’il n’avait pas accès au régime de travail. Cette ordonnance n’ayant pas fait l’objet d’une contestation, l’illicéité des conditions de détention du prévenu à la prison du Bois- Mermet a été constatée de manière définitive par le Tribunal des mesures de contrainte, de sorte qu’il se justifie de lui octroyer une réparation pour le tort moral subi. Au demeurant, compte tenu de la jurisprudence précitée, la durée indicative de trois mois au-delà de laquelle les mauvaises conditions de détention ne peuvent plus être tolérées constitue l’une des circonstances aggravantes qui permet à l’autorité compétente de conclure à l’illicéité des conditions de détention lorsque la surface individuelle nette à disposition dans la cellule se situe entre 3 et 4 m2 et de déterminer l’ampleur de la réparation. Contrairement à ce que soutient le Ministère public, ce critère ne permet pas de renoncer à toute réparation pour le tort moral subi pour le cas où il ne serait pas réalisé, si d’autres circonstances aggravantes sont réunies, ce qui est le cas en l’espèce. Dans le cas particulier, afin de déterminer l’ampleur de la réparation qui doit être octroyée au prévenu, il y a lieu de retenir que l’intéressé a été détenu pendant 77 jours dans des cellules doubles dans lesquelles la surface individuelle nette à disposition se situait entre 3 et 4 m2 (3.83 m2) et qui ne disposaient pas de cloison solide pour séparer les sanitaires du reste de la cellule, dans lesquelles il était de surcroît confiné toute la journée, à l’exception du temps dévolu à la promenade quotidienne et aux sports et loisirs. Au vu des circonstances concrètes du cas d’espèce et compte tenu de la souffrance qui en découle, il se justifie ainsi d’opérer une réduction de peine d’un quart de la durée passée dans</w:t>
      </w:r>
    </w:p>
    <w:p>
      <w:r>
        <w:t>- 15 - de telles conditions à la prison du Bois-Mermet, soit de 20 jours (77 : 4 = 19.25). C’est donc un total de 27 jours (7 jours + 20 jours) qu’il convient de déduire de la peine de 120 jours prononcée à l’encontre du prévenu à titre de réparation pour le tort moral subi. L’appel doit donc être admis sur ce point dans cette mesure.</w:t>
      </w:r>
    </w:p>
    <w:p>
      <w:r>
        <w:rPr>
          <w:b/>
        </w:rPr>
        <w:t>E. 4.1</w:t>
      </w:r>
    </w:p>
    <w:p>
      <w:r>
        <w:t>La privation de liberté effectivement subie par l’intéressé pouvant être imputée en totalité sur la sanction prononcée réduite de la durée de la détention subie avant jugement et de la durée déduite à titre de réparation du tort moral, il ne se justifie dès lors plus d’allouer au prévenu une indemnité pour les jours de détention excédant la peine prononcée.</w:t>
      </w:r>
    </w:p>
    <w:p>
      <w:r>
        <w:rPr>
          <w:b/>
        </w:rPr>
        <w:t>E. 4.2</w:t>
      </w:r>
    </w:p>
    <w:p>
      <w:r>
        <w:t>Pour les mêmes motifs, il ne se justifie plus d’ordonner la mise en liberté immédiate de S.________, un solde de peine devant encore être exécuté. Toutefois, l’intéressé ayant effectivement été libéré au terme des débats de première instance, il n’y a pas non plus lieu d’ordonner son maintien en détention pour garantir l’exécution de la peine.</w:t>
      </w:r>
    </w:p>
    <w:p>
      <w:r>
        <w:rPr>
          <w:b/>
        </w:rPr>
        <w:t>E. 5</w:t>
      </w:r>
    </w:p>
    <w:p>
      <w:r>
        <w:t>En définitive, l’appel interjeté par le Ministère public doit être partiellement admis et le jugement entrepris réformé dans le sens des considérants qui précèdent. Vu l’issue de la cause, les frais de la procédure d’appel, constitués en l’espèce de l’émolument du présent jugement, par 1’760 fr. (art. 21 al. 1 TFIP [Tarif des frais de procédure et indemnités en matière pénale du 28 septembre 2010 ; BLV 312.03.1]) et des frais imputables à la défense d’office (art. 422 al. 1 et 2 let. a CPP), fixés à 540 fr., auxquels il convient d’ajouter des débours forfaitaires à concurrence de 2 % (art. 3bis RAJ [Règlement sur l’assistance judiciaire en matière civile du 7 décembre 2010 ; BLV 211.02.3], par renvoi de l’art. 26b TFIP), par 10 fr. 80, plus la</w:t>
      </w:r>
    </w:p>
    <w:p>
      <w:r>
        <w:t>- 16 - TVA par 42 fr. 40, soit à 593 fr. 20 au total, seront mis par un quart, soit par 588 fr. 30, à la charge de l’intimé, qui succombe en partie dès lors qu’il a conclu au rejet de l’intégralité de l’appel, le solde étant laissé à la charge de l’Etat (art. 428 al. 1 CPP). L’intimé ne sera tenu de rembourser à l’Etat le quart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