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PE19.010448 vom 17. September 2020</w:t>
      </w:r>
    </w:p>
    <w:p>
      <w:r>
        <w:t>VD Tribunal cantonal, 2020-09-17, FR</w:t>
      </w:r>
    </w:p>
    <w:p>
      <w:r>
        <w:rPr>
          <w:b/>
        </w:rPr>
        <w:t xml:space="preserve">Quelle: </w:t>
      </w:r>
      <w:r>
        <w:t>https://mcp.opencaselaw.ch/entscheid/vd_gerichte_PE19.010448</w:t>
      </w:r>
    </w:p>
    <w:p>
      <w:r>
        <w:t>FR: VD_GERICHTE PE19.010448 du 17 septembre 2020</w:t>
      </w:r>
    </w:p>
    <w:p>
      <w:r>
        <w:t>IT: VD_GERICHTE PE19.010448 del 17 settembre 2020</w:t>
      </w:r>
    </w:p>
    <w:p>
      <w:pPr>
        <w:pStyle w:val="Heading2"/>
      </w:pPr>
      <w:r>
        <w:t>Erwägungen</w:t>
      </w:r>
    </w:p>
    <w:p>
      <w:r>
        <w:rPr>
          <w:b/>
        </w:rPr>
        <w:t>E. 1.1</w:t>
      </w:r>
    </w:p>
    <w:p>
      <w:r>
        <w:t>Interjeté en temps utile (art. 396 al. 1 CPP [Code de procédure pénale suisse du 5 octobre 2007 ; RS 312.0]), contre une décision du ministère public (art. 393 al. 1 let. a CPP), par une partie qui a qualité pour</w:t>
      </w:r>
    </w:p>
    <w:p>
      <w:r>
        <w:t>- 3 - recourir (art. 382 al. 1 CPP) et dans les formes prescrites (art. 385 al. 1 CPP), le recours de X.________ est recevable.</w:t>
      </w:r>
    </w:p>
    <w:p>
      <w:r>
        <w:rPr>
          <w:b/>
        </w:rPr>
        <w:t>E. 1.2</w:t>
      </w:r>
    </w:p>
    <w:p>
      <w:r>
        <w:t>Dès lors que recours porte uniquement sur les conséquences économiques accessoires d'une décision et que le montant litigieux ne dépasse pas 5'000 fr. (art. 395 let. b CPP), un membre de la Chambre des recours pénale du Tribunal cantonal statue en tant que juge unique (art. 13 al. 2 LVCPP [loi vaudoise d’introduction du Code de procédure pénale suisse du 19 mai 2009 ; BLV 312.01]).</w:t>
      </w:r>
    </w:p>
    <w:p>
      <w:r>
        <w:rPr>
          <w:b/>
        </w:rPr>
        <w:t>E. 2.1</w:t>
      </w:r>
    </w:p>
    <w:p>
      <w:r>
        <w:t>Le recourant soutient qu’il a admis sa culpabilité, qu’il a indemnisé sa victime, qu’il ne comprend pas quelle enquête a été faite par la gendarmerie et que la Procureure a traité le dossier uniquement à sa charge et aurait dû appliquer l’art. 53 CP afin d’éviter la mise à sa charge de frais inutiles.</w:t>
      </w:r>
    </w:p>
    <w:p>
      <w:r>
        <w:rPr>
          <w:b/>
        </w:rPr>
        <w:t>E. 2.2</w:t>
      </w:r>
    </w:p>
    <w:p>
      <w:r>
        <w:t>Aux termes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w:t>
      </w:r>
    </w:p>
    <w:p>
      <w:r>
        <w:t>- 4 - de l'ordre juridique suisse pris dans son ensemble, dans le sens d'une application par analogie des principes découlant de l'art. 41 CO. Le fait reproché doit constituer une violation claire de la norme de comportement. Selon la jurisprudence, un comportement immoral ou contraire au principe de la bonne foi au sens de l'art. 2 CC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w:t>
      </w:r>
    </w:p>
    <w:p>
      <w:r>
        <w:rPr>
          <w:b/>
        </w:rPr>
        <w:t>E. 2.3</w:t>
      </w:r>
    </w:p>
    <w:p>
      <w:r>
        <w:t>Le recourant se méprend sur la portée de l’art. 53 let. b CP. En effet, si cet article permet effectivement de renoncer à poursuivre l’auteur d’un dommage qui a admis les faits, cela ne signifie pas pour autant que celui-ci doit également être libéré des frais de procédure. Dans le cas particulier, le recourant a admis que, dans un accès de colère, il avait jeté le cycle du fils de la plaignante dans les vignes, respectivement qu’il l’avait endommagé. C’est donc par son comportement illicite et fautif au sens de l’art. 41 CO que le recourant a provoqué l’ouverture de la procédure pénale. La mise à sa charge des frais de procédure est par conséquent entièrement justifiée. Le recourant ne conteste pas la quotité des frais mis à sa charge, se bornant à conclure à une « réévaluation » de ceux-ci. Contrairement à qu’il soutient, une instruction a bel et bien été effectuée tant par la police que par le Ministère public, laquelle se compose des pages du procès-verbal des opérations, des auditions de la police et de la Procureure, ainsi que de l’ordonnance de classement, soit neuf pages à 75 fr. la page, conformément aux art. 2 al. 1 et 14 al. 1 TFPContr (Tarif des frais de procédure pour le ministère public et les autorités administratives</w:t>
      </w:r>
    </w:p>
    <w:p>
      <w:r>
        <w:t>- 5 - compétentes en matière de contraventions du 15 décembre 2010 ; BLV 312.03.3). Les frais de procédure, par 675 fr, doivent ainsi être confirmés.</w:t>
      </w:r>
    </w:p>
    <w:p>
      <w:r>
        <w:rPr>
          <w:b/>
        </w:rPr>
        <w:t>E. 3</w:t>
      </w:r>
    </w:p>
    <w:p>
      <w:r>
        <w:t>Il résulte de ce qui précède que le recours, manifestement mal fondé, doit être rejeté sans échange d'écritures (art. 390 al. 2 CPP) et l’ordonnance entreprise confirmée. Les frais de la procédure de recours, par 450 fr. (art. 20 al. 1 TFIP [Tarif des frais de procédure et indemnités en matière pénale du 28 septembre 2010 ; BLV 312.03.1]), seront mis à la charge du recourant, qui succombe (art. 428 al. 1 CPP). L'avance de frais de 200 fr. versée par le recourant à titre de sûretés sera déduite des frais d'arrêt mis à sa charge (art. 383 al. 1 CPP ; art. 7 TFIP ; CREP 29 juillet 2019/570 ; CREP 25 octobre 2017/730). Par ces motifs, la juge unique prononce : I. Le recours est rejeté. II. L’ordonnance du 1er juillet 2020 est confirmée. III. Les frais de la procédure de recours, par 450 fr. (quatre cent cinquante francs), sont mis à la charge de X.________. IV. L'avance de frais de 200 fr. (deux cents francs) versée par X.________ à titre de sûretés est imputée sur les frais mis à sa charge au chiffre III ci-dessus. V. L’arrêt est exécutoire. La juge unique : La greffière :</w:t>
      </w:r>
    </w:p>
    <w:p>
      <w:r>
        <w:t>- 6 - Du Le présent arrêt, dont la rédaction a été approuvée à huis clos, est notifié, par l'envoi d'une copie complète, à : - M. X.________, - Mme G.________,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