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PE19.010419 vom 13. September 2022</w:t>
      </w:r>
    </w:p>
    <w:p>
      <w:r>
        <w:t>VD Tribunal cantonal, 2022-09-13, FR</w:t>
      </w:r>
    </w:p>
    <w:p>
      <w:r>
        <w:rPr>
          <w:b/>
        </w:rPr>
        <w:t xml:space="preserve">Quelle: </w:t>
      </w:r>
      <w:r>
        <w:t>https://mcp.opencaselaw.ch/entscheid/vd_gerichte_PE19.010419</w:t>
      </w:r>
    </w:p>
    <w:p>
      <w:r>
        <w:t>FR: VD_GERICHTE PE19.010419 du 13 septembre 2022</w:t>
      </w:r>
    </w:p>
    <w:p>
      <w:r>
        <w:t>IT: VD_GERICHTE PE19.010419 del 13 settembre 2022</w:t>
      </w:r>
    </w:p>
    <w:p>
      <w:pPr>
        <w:pStyle w:val="Heading2"/>
      </w:pPr>
      <w:r>
        <w:t>Erwägungen</w:t>
      </w:r>
    </w:p>
    <w:p>
      <w:r>
        <w:rPr>
          <w:b/>
        </w:rPr>
        <w:t>E. 5</w:t>
      </w:r>
    </w:p>
    <w:p>
      <w:r>
        <w:t>Au vu de ce qui précède, l’appel doit être rejeté et le jugement entrepris confirmé. Me Philippe Oguey, défenseur d’office de L.________, a produit une liste d’opérations dans laquelle il indique une activité nécessaire d’avocat de 7h15, ce qui est adéquat. Au tarif horaire de 180 fr. (cf. art. 2 al. 1 RAJ [règlement sur l'assistance judiciaire en matière civile du 7 décembre 2010 ; BLV 211.02.3]), l’indemnité de défenseur d'office qui doit être allouée pour la procédure d'appel s’élève donc à 1’433 fr. 60, soit des honoraires de 1’305 fr., auxquels s’ajoutent les débours forfaitaires de 26 fr. 10 et la TVA sur le tout par 102 fr. 50. Vu l’issue de la cause, les frais de la procédure d’appel, par 2’643 fr. 60, constitués de l’émoluments de jugement, par 1’210 fr. (art. 21 al. 1 TFIP [tarif des frais de procédure et indemnités en matière pénale du 28 septembre 2010 ; BLV 312.03.1]), et de l’indemnité due au défenseur d’office, par 1’433 fr. 60, seront mis à la charge de L.________, qui succombe (art. 428 al. 1 CPP). L.________ sera tenue de rembourser à l’Etat le montant de l’indemnité en faveur de son défenseur d’office dès que sa situation financière le permettra.</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