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PE19.010394 vom 5. September 2019</w:t>
      </w:r>
    </w:p>
    <w:p>
      <w:r>
        <w:t>VD Tribunal cantonal, 2019-09-05, FR</w:t>
      </w:r>
    </w:p>
    <w:p>
      <w:r>
        <w:rPr>
          <w:b/>
        </w:rPr>
        <w:t xml:space="preserve">Quelle: </w:t>
      </w:r>
      <w:r>
        <w:t>https://mcp.opencaselaw.ch/entscheid/vd_gerichte_PE19.010394</w:t>
      </w:r>
    </w:p>
    <w:p>
      <w:r>
        <w:t>FR: VD_GERICHTE PE19.010394 du 5 septembre 2019</w:t>
      </w:r>
    </w:p>
    <w:p>
      <w:r>
        <w:t>IT: VD_GERICHTE PE19.010394 del 5 settembre 2019</w:t>
      </w:r>
    </w:p>
    <w:p>
      <w:pPr>
        <w:pStyle w:val="Heading2"/>
      </w:pPr>
      <w:r>
        <w:t>Volltext</w:t>
      </w:r>
    </w:p>
    <w:p>
      <w:r>
        <w:t>TRIBUNAL CANTONAL 648 PE19.010394-LAL CHAMBRE DE S RECO URS PEN ALE __________________________________________ Arrêt du 5 septembre 2019 __________________ Composition : M. MEYLAN, président MM. Krieger et Oulevey, juges Greffier : M. Magnin ***** Art. 310 CPP ; 312 CP Statuant sur le recours interjeté le 17 juin 2019 par W.________ contre l’ordonnance de non-entrée en matière rendue le 29 mai 2019 par le Ministère public de l’arrondissement de Lausanne dans la cause n° PE19.010394-LAL, la Chambre des recours pénale considère : En fait : A. Le 25 mai 2019, W.________ a déposé plainte contre la [...] P.________ et le médecin [...], à [...], F.________, pour abus d’autorité notamment. 351</w:t>
      </w:r>
    </w:p>
    <w:p>
      <w:r>
        <w:t>- 2 - Il reproche à ces derniers d’avoir ordonné son arrestation, puis son placement à des fins d’assistance à [...] pendant dix jours, à savoir du 14 au 25 février 2019, le privant ainsi de sa liberté de manière abusive. Il reproche en particulier à la [...] P.________ de s’être fondée sur un document privé comportant ses dernières volontés, trouvé par la police à son domicile le 12 février 2019, pour ordonner son placement. B. Par ordonnance du 29 mai 2019, le Ministère public de l’arrondissement de Lausanne a refusé d’entrer en matière sur la plainte de W.________ (I) et a laissé les frais à la charge de l’Etat (II). La Procureure a considéré que les faits dénoncés par le plaignant, ne faisant que décrire le processus habituel de mise en œuvre d’un placement à des fins d’assistance, ne réalisaient manifestement pas les éléments constitutifs de l’infraction d’abus d’autorité ou de toute autre infraction, dès lors qu’il ne faisait que contester une décision civile qui ne lui convenait pas. Elle a ajouté qu’il appartenait à la [...] P.________ et au médecin F.________ de décider s’il y avait lieu, ou non, de prononcer un placement à des fins d’assistance et que ceux-ci étaient légitimés à agir en ce sens sur la base du Code civil suisse. Par ailleurs, le Ministère public a relevé que le placement à des fins d’assistance reposait sur les art. 426 ss CC (Code civile suisse du 10 décembre 1907 ; RS 210), de sorte que le prononcé de cette mesure n’était pas illicite et que, même s’il elle était ordonnée contre le gré de la personne concernée, elle ne constituait pas en soi un abus d’autorité, ni de la contrainte. La Procureure a encore indiqué que rien ne permettait de considérer que la [...] P.________ et le médecin F.________ avaient agi dans l’intention de nuire à W.________, si bien que les éléments constitutifs subjectifs des infractions en cause n’étaient pas non plus réalisés. Enfin, les faits décrits par le prénommé ne remplissaient pas l’infraction de mise en danger de la vie d’autrui. C. Par acte du 17 juin 2019, W.________ a recouru auprès de la Chambre de recours pénale du Tribunal cantonal contre cette ordonnance, en concluant à son annulation, la cause étant renvoyée au Ministère public pour qu’il instruise sa plainte.</w:t>
      </w:r>
    </w:p>
    <w:p>
      <w:r>
        <w:t>- 3 - Par avis du 20 juin 2019, la Chambre des recours pénale a imparti un délai au 10 juillet 2019 à W.________ pour effectuer un dépôt de 550 fr. à titre de sûretés. Par courrier du 10 juillet 2019, W.________ a indiqué qu’il était au bénéfice de l’aide sociale et que sa situation financière était précaire. Le 24 juillet 2019, le Président de l’autorité de céans a dispensé W.________ du versement des sûretés, précisant qu’il pourrait être tenu de payer les frais si son recours était rejeté. En d roit : 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de W.________ est recevable. 2. 2.1 Le recourant considère que l’attitude adoptée par la [...] P.________ et par F.________ traduirait une volonté effective de lui nuire. Il reproche à P.________ d’avoir agi dans un esprit de revanche, parce qu’il n’a pas collaboré à l’instauration d’une curatelle à son endroit et en raison d’un courrier qu’il lui a adressé pour lui demander la levée de sa curatelle. Il ajoute que F.________ et la [...] P.________ auraient notamment commis</w:t>
      </w:r>
    </w:p>
    <w:p>
      <w:r>
        <w:t>- 4 - des abus en s’appropriant, par le biais de la police, des documents privés déposés à son domicile, en outrepassant leurs prérogatives, en refusant de donner suite à ses sollicitations et en le privant de liberté pendant dix jours. 2.2 2.2.1 Conformément à l'art. 310 al. 1 let. a CPP, le Procureur rend immédiatement – c'est-à-dire sans qu'une instruction soit ouverte (art. 309 al. 1 et 4 CPP ; TF 1B_111/2012 du 5 avril 2012 consid. 2.1 ; Cornu, in :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- 5 - 2.2.2 Selon l'art. 312 CP (Code pénal suisse du 21 décembre 1937 ; RS 311.0),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 2.3 En l’espèce, dans son recours, W.________ se contente d’affirmer que la [...] P.________ et F.________ ont adopté à son égard une attitude traduisant leur volonté de nuire et précise, sur ce point, que la prénommée aurait agi dans un esprit de revanche, parce qu’il n’a pas collaboré à l’instauration d’une curatelle à son endroit et parce qu’il lui aurait résisté en lui adressant un courrier pour demander la levée de sa curatelle. Or, le recourant n’étaye aucunement ses propos par des éléments concrets, en produisant par exemple le courrier dont il se prévaut ou des pièces issues de la procédure de curatelle dont il fait état. Ainsi, force est de constater qu’il ne rend vraisemblable aucun élément permettant de supposer que la [...] P.________, le cas échéant F.________, auraient agi en prononçant son placement à des fins d’assistance, dans le dessein de lui nuire.</w:t>
      </w:r>
    </w:p>
    <w:p>
      <w:r>
        <w:t>- 6 - De toute manière, outre l’aspect subjectif, les faits dénoncés par le recourant ne sont pas constitutifs d’abus d’autorité ou d’une quelconque infraction pénale. Au vu des explications de W.________, l’enfermement de celui-ci au sein de [...] prend place dans le cadre d’une procédure civile en lien avec la protection de l’adulte. Ainsi, quoi qu’en dise l’intéressé, la [...] P.________ et, le cas échéant, le médecin F.________, étaient légitimés, sur la base des art. 426 ss CC, à prononcer le placement à des fins d’assistance de W.________ s’ils estimaient que cette mesure était appropriée pour atteindre le but visé, en l’occurrence, semble-t-il, l’élaboration d’une expertise psychiatrique. En outre, rien n’indique que les parties incriminées auraient agi par des moyens disproportionnés. Sur ce point, on relève en particulier que, dans sa plainte, le recourant a affirmé lui-même qu’il avait refusé de collaborer avec les autorités concernées et qu’il n’avait pas donné suite à plusieurs convocations. Dans ces conditions, il est normal que la [...] ait notamment sollicité l’aide de la police. Quoi qu’il en soit, le litige dont fait état le recourant n’a aucun caractère pénal. S’il n’est pas d’accord avec les décisions prises contre lui dans le cadre de la procédure civile le concernant, il lui appartient d’utiliser les voies de droit idoines, et non de saisir les autorités pénales. Dans ces circonstances, l’ordonnance de non-entrée en matière du 29 mai 2019 ne prête pas le flanc à la critique. 3. En définitive, le recours, manifestement mal fondé, doit être rejeté sans échange d’écritures (art. 390 al. 2 CPP) et l’ordonnance attaquée confirmée. A toutes fins utiles, on relèvera que le recourant ne saurait bénéficier de l’assistance judiciaire, sous la forme de l’exonération des frais de procédure (art. 136 al. 2 let. b CPP), le recours étant d'emblée dénué de chance de succès (CREP 29 juin 2018/464 ; CREP 13 août 2015/478 et les références citées ; Ruckstuhl, in : Niggli/Heer/Wiprächtiger [éd.], Basler Kommentar, Schweizerische Strafprozes-sordnung, Jugendstrafprozessordnung, Art. 1-195 StPO, 2e éd., Bâle 2014, n. 10 ad art. 132 CPP).</w:t>
      </w:r>
    </w:p>
    <w:p>
      <w:r>
        <w:t>- 7 - Les frais de la procédure de recours, constitués du seul émolument d’arrêt, par 770 fr. (art. 20 al. 1 TFIP [Tarif des frais judiciaires de procédure et indemnités en matière pénale du 28 septembre 2010 ; BLV 312.03.1]), seront mis à la charge du recourant, qui succombe (art. 428 al. 1 CPP). Par ces motifs, la Chambre des recours pénale prononce : I. Le recours est rejeté. II. L’ordonnance du 29 mai 2019 est confirmée. III. Les frais d’arrêt, par 770 fr. (sept cent septante francs), sont mis à la charge de W.________. IV. L’arrêt est exécutoire. Le président : Le greffier : Du Le présent arrêt, dont la rédaction a été approuvée à huis clos, est notifié, par l'envoi d'une copie complète, à : - M. W.________, - Ministère public central,</w:t>
      </w:r>
    </w:p>
    <w:p>
      <w:r>
        <w:t>- 8 - et communiqué à : - Mme la Procureure de l’arrondissement de Lausanne, - Mme P.________, - M. F.________,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