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PE19.010266 vom 20. Mai 2020</w:t>
      </w:r>
    </w:p>
    <w:p>
      <w:r>
        <w:t>VD Tribunal cantonal, 2020-05-20, FR</w:t>
      </w:r>
    </w:p>
    <w:p>
      <w:r>
        <w:rPr>
          <w:b/>
        </w:rPr>
        <w:t xml:space="preserve">Quelle: </w:t>
      </w:r>
      <w:r>
        <w:t>https://mcp.opencaselaw.ch/entscheid/vd_gerichte_PE19.010266</w:t>
      </w:r>
    </w:p>
    <w:p>
      <w:r>
        <w:t>FR: VD_GERICHTE PE19.010266 du 20 mai 2020</w:t>
      </w:r>
    </w:p>
    <w:p>
      <w:r>
        <w:t>IT: VD_GERICHTE PE19.010266 del 20 maggio 2020</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w:t>
      </w:r>
    </w:p>
    <w:p>
      <w:r>
        <w:t>- 4 - plaignante qui a qualité pour recourir (art. 382 al. 1 CPP ; ATF 140 IV 155 consid. 3.3.1), le recours de L.________ est recevable.</w:t>
      </w:r>
    </w:p>
    <w:p>
      <w:r>
        <w:rPr>
          <w:b/>
        </w:rPr>
        <w:t>E. 1.2</w:t>
      </w:r>
    </w:p>
    <w:p>
      <w:r>
        <w:t>L'autorité de recours se fonde, pour statuer, non seulement sur les preuves administrées pendant la procédure préliminaire et le cas échéant pendant la procédure de première instance (art. 389 al. 1 CPP), mais sur l'ensemble des pièces du dossier. Elle administre, d'office ou à la demande d'une partie, les preuves complémentaires nécessaires au traitement du recours (art. 389 al. 3 CPP), lorsque celles-ci ne se trouvent pas au dossier. Elle rend sa décision sur la base du dossier et de l’administration des compléments de preuves (art. 390 al. 4 in fine CPP). Les pièces nouvelles produites par le recourant sont donc également recevables (TF 6B_654/2013 du 31 octobre 2013 consid. 2.2- 2.3 ; TF 6B_509/2012 du 22 novembre 2012 consid. 3.2 ; CREP 3 décembre 2018/938 consid. 1 ; CREP 12 mars 2018/186 consid. 1 ; Moreillon/Parein-Reymond, Code de procédure pénale, Petit commentaire, 2e éd., Bâle 2016, n. 8 ad art. 385 CPP).</w:t>
      </w:r>
    </w:p>
    <w:p>
      <w:r>
        <w:rPr>
          <w:b/>
        </w:rPr>
        <w:t>E. 2</w:t>
      </w:r>
    </w:p>
    <w:p>
      <w:r>
        <w:t>Conformément à l'art. 310 al. 1 let. a CPP, le Ministère public rend immédiatement – c'est-à-dire sans qu'une instruction soit ouverte (art. 309 al. 1 et 4 CPP ; TF 1B_111/2012 du 5 avril 2012 consid.</w:t>
      </w:r>
    </w:p>
    <w:p>
      <w:r>
        <w:rPr>
          <w:b/>
        </w:rPr>
        <w:t>E. 2.1</w:t>
      </w:r>
    </w:p>
    <w:p>
      <w:r>
        <w:t>; Cornu, in : Jeanneret/Kuhn/Perrier Depeursinge [éd.], Commentaire romand, Code de procédure pénale suisse, 2e éd., Bâle 2019,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w:t>
      </w:r>
    </w:p>
    <w:p>
      <w:r>
        <w:t>- 5 -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Dans un premier moyen, le recourant fait valoir que la violation du secret professionnel serait un délit continu de sorte que sa plainte ne serait pas hors délai.</w:t>
      </w:r>
    </w:p>
    <w:p>
      <w:r>
        <w:rPr>
          <w:b/>
        </w:rPr>
        <w:t>E. 3.2</w:t>
      </w:r>
    </w:p>
    <w:p>
      <w:r>
        <w:t>La violation du secret professionnel est un délit qui ne se poursuit que sur plainte (art. 321 ch. 1 CP).</w:t>
      </w:r>
    </w:p>
    <w:p>
      <w:r>
        <w:rPr>
          <w:b/>
        </w:rPr>
        <w:t>E. 3.3</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ATF 131 IV 83 consid. 2.1.2 ; ATF 119 IV 216 consid. 2f et les références citées). Tel est notamment le cas de la séquestration et de l'enlèvement qualifié au sens des art. 183 al. 2 et 184 al. 4 CP, de la</w:t>
      </w:r>
    </w:p>
    <w:p>
      <w:r>
        <w:t>- 6 - violation de domicile au sens de l'art. 186 CP, de l'enlèvement de mineur au sens de l'art. 220 CP, de l'entrave à l'action pénale au sens de l'art. 305 CP, ou de l'occupation illicite d'ouvriers (ATF 131 IV 83 consid. 2.1.2 et les références citées).</w:t>
      </w:r>
    </w:p>
    <w:p>
      <w:r>
        <w:rPr>
          <w:b/>
        </w:rPr>
        <w:t>E. 3.4</w:t>
      </w:r>
    </w:p>
    <w:p>
      <w:r>
        <w:t>En l’occurrence, au vu de la jurisprudence et des exemples précités, la violation de l’art. 321 CP n’est manifestement pas un délit continu puisque l’état de fait illicite ne peut pas être supprimé par son auteur une fois la révélation faite.</w:t>
      </w:r>
    </w:p>
    <w:p>
      <w:r>
        <w:rPr>
          <w:b/>
        </w:rPr>
        <w:t>E. 4.1</w:t>
      </w:r>
    </w:p>
    <w:p>
      <w:r>
        <w:t>L.________ fait encore valoir que sa plainte aurait été déposée dans les délais car il aurait appris le 18 mars 2019 seulement qu’un avocat devait obtenir la levée du secret professionnel de son autorité supérieure pour poursuivre un client.</w:t>
      </w:r>
    </w:p>
    <w:p>
      <w:r>
        <w:rPr>
          <w:b/>
        </w:rPr>
        <w:t>E. 4.2</w:t>
      </w:r>
    </w:p>
    <w:p>
      <w:r>
        <w:t>Selon l'art. 31 CP (Code pénal suisse du 21 décembre 1937 ; RS 311.0),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 Reymond, op. cit., n. 13 ad art. 310 CPP), doit être assimilée à un empêchement de procéder au sens de l’art. 310 al. 1 let. b CPP, du moins lorsqu’aucune infraction poursuivie d’office n’est en cause (CREP 18 novembre 2019/927 ; CREP 28 octobre 2019/859 ; CREP 12 février 2019/115).</w:t>
      </w:r>
    </w:p>
    <w:p>
      <w:r>
        <w:rPr>
          <w:b/>
        </w:rPr>
        <w:t>E. 4.3</w:t>
      </w:r>
    </w:p>
    <w:p>
      <w:r>
        <w:t>En l’occurrence, le délai de trois mois de l’art. 31 CP part de la connaissance de l’auteur de l’infraction ainsi que des éléments objectifs et subjectifs de l’infraction (Dupuis et al. [éd.], Petit Commentaire du Code pénal, 2e éd., Bâle 2017, n. 4 ad art. 31 CP) et la levée du secret professionnel n’est pas un élément constitutif objectif de l’infraction, mais</w:t>
      </w:r>
    </w:p>
    <w:p>
      <w:r>
        <w:t>- 7 - un motif justificatif (Dupuis et al. [éd.], Petit Commentaire du Code pénal, op. cit., nn 37-45 ad art. 321 CP). Par conséquent, la plainte de L.________ est tardive en tant qu’elle vise Me C.________ pour une violation du secret professionnel en 2014.</w:t>
      </w:r>
    </w:p>
    <w:p>
      <w:r>
        <w:rPr>
          <w:b/>
        </w:rPr>
        <w:t>E. 5</w:t>
      </w:r>
    </w:p>
    <w:p>
      <w:r>
        <w:t>Toutefois, le plaignant a produit, à l’appui de son recours, un courrier du 12 avril 2019 de l’agent d’affaires breveté [...], agissant pour le compte de Me C.________. Ce courrier, antérieur à la plainte pénale déposée par L.________, requiert la mainlevée de l’opposition totale suite à une décision rendue par le Juge de paix du district de Lavaux-Oron le 23 août 2018. Or, le dossier contient une lettre de la Cour administrative datée du 29 avril 2019, indiquant que Me C.________ n’a pas requis la mainlevée du secret professionnel dans le cadre d’une procédure concernant le plaignant. Au vu de ce qui précède, il est possible que la plainte pénale déposée par L.________ ne soit pas prescrite, dans l’hypothèse où Me C.________ aurait violé son secret de fonction en révélant des faits à l’agent d’affaires [...], alors que celle-ci n’était pas encore consultée pendant la procédure de mainlevée devant le Juge de paix. Il convient dès lors d’instruire cette question.</w:t>
      </w:r>
    </w:p>
    <w:p>
      <w:r>
        <w:rPr>
          <w:b/>
        </w:rPr>
        <w:t>E. 6</w:t>
      </w:r>
    </w:p>
    <w:p>
      <w:r>
        <w:t>En définitive, le recours de L.________ doit être admis, l’ordonnance querellée annulée et le dossier de la cause renvoyé au Ministère public de l’arrondissement de l’Est vaudois pour qu’il procède dans le sens des considérants. Les frais de la procédure de recours, constitués en l’espèce du seul émolument d’arrêt (art. 422 al. 1 CPP), par 770 fr. (art. 20 al. 1 TFIP [Tarif des frais de procédure et indemnités en matière pénale du 28 septembre 2010 ; BLV 312.03.1]), seront mis à la charge du recourant, en application de l’art. 428 al. 2 let. a CPP, les conditions pour obtenir gain de</w:t>
      </w:r>
    </w:p>
    <w:p>
      <w:r>
        <w:t>- 8 - cause n’ayant été réalisées que dans la procédure de recours par la production du courrier de l’agent d’affaires [...]. Par ces motifs, la Chambre des recours pénale prononce : I. Le recours est admis. II. L’ordonnance du 26 février 2020 est annulée. III. Le dossier de la cause est renvoyé au Ministère public de l’arrondissement de l’Est vaudois pour qu’il procède dans le sens des considérants. IV. Les frais d’arrêt, par 770 fr. (sept cent septante francs), sont mis à la charge de L.________. V. L’arrêt est exécutoire. Le juge présidant : La greffière : Du Le présent arrêt, dont la rédaction a été approuvée à huis clos, est notifié, par l'envoi d'une copie complète, à : - M. L.________, - Ministère public central, et communiqué à :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