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PE19.010104 vom 8. Oktober 2019</w:t>
      </w:r>
    </w:p>
    <w:p>
      <w:r>
        <w:t>VD Tribunal cantonal, 2019-10-08, FR</w:t>
      </w:r>
    </w:p>
    <w:p>
      <w:r>
        <w:rPr>
          <w:b/>
        </w:rPr>
        <w:t xml:space="preserve">Quelle: </w:t>
      </w:r>
      <w:r>
        <w:t>https://mcp.opencaselaw.ch/entscheid/vd_gerichte_PE19.010104</w:t>
      </w:r>
    </w:p>
    <w:p>
      <w:r>
        <w:t>FR: VD_GERICHTE PE19.010104 du 8 octobre 2019</w:t>
      </w:r>
    </w:p>
    <w:p>
      <w:r>
        <w:t>IT: VD_GERICHTE PE19.010104 del 8 ottobre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w:t>
      </w:r>
    </w:p>
    <w:p>
      <w:r>
        <w:t>- 4 - recours d’I.________ est recevable. Les pièces nouvelles le sont également (art. 390 al. 4 in fine CPP ; Moreillon/Parein-Reymond, Code de procédure pénale, Petit commentaire, 2e éd., Bâle 2016, n. 8 ad art. 385 CPP ; CREP 9 juillet 2012/427 consid. 1b et les réf. citées).</w:t>
      </w:r>
    </w:p>
    <w:p>
      <w:r>
        <w:rPr>
          <w:b/>
        </w:rPr>
        <w:t>E. 2</w:t>
      </w:r>
    </w:p>
    <w:p>
      <w:r>
        <w:t>Conformément à l'art. 310 al. 1 let. a CPP, le ministère public rend immédiatement – c'est-à-dire sans qu'une instruction soit ouverte (art. 309 al. 1 et 4 CPP ; TF 1B_111/2012 du 5 avril 2012 consid. 2.1 ; Cornu, in : Kuhn/Jeanneret [éd.], Commentaire romand, Code de procédure pénale suisse, Bâle 2011, n. 2 ad art. 310 CPP) – une ordonnance de non- 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- 5 -</w:t>
      </w:r>
    </w:p>
    <w:p>
      <w:r>
        <w:rPr>
          <w:b/>
        </w:rPr>
        <w:t>E. 3.1</w:t>
      </w:r>
    </w:p>
    <w:p>
      <w:r>
        <w:t>La recourante soutient qu’elle aurait été victime d’une « arnaque », que la voyante lui aurait sciemment fait des promesses mensongères, qu’elle aurait abusé de sa détresse et qu’un tel comportement serait constitutif d’une escroquerie et donc punissable pénalement.</w:t>
      </w:r>
    </w:p>
    <w:p>
      <w:r>
        <w:rPr>
          <w:b/>
        </w:rPr>
        <w:t>E. 3.2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 il faut que celle-ci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 TF 6B_446/2018 du 17 juillet 2018 consid. 2.1 et les réf.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w:t>
      </w:r>
    </w:p>
    <w:p>
      <w:r>
        <w:t>- 6 - D’après la jurisprudence et la doctrine, l’attention que l’on peut attendre de la dupe doit faire l’objet d’un examen personnel et individuel (individuellen Massstab). Le Tribunal fédéral commande, dans le cadre de cet examen, de prendre en considération en particulier la faiblesse d’esprit de la victime, son inexpérience, son âge ou toute autre circonstance qui a pour conséquence que celle-ci se trouve dans un état de dépendance ou dans un rapport de soumission dont l’auteur profite pour la tromper (TF 6B_383/2013 du 9 septembre 2013 consid. 2.2.1). Tel est le cas lorsque l’auteur met à profit un rapport de confiance qu’il a créé avec sa victime (TC BS SB.2017.75 du 12 février 2019 consid. 16.2.2). La doctrine, à la suite du Tribunal fédéral, envisage comme tombant sous le coup d’une escroquerie toutes les manipulations (notamment de sectes comme la Scientologie) qui visent à profiter de l’état de faiblesse de la victime : de telles manipulations peuvent viser des personnes qui sont intellectuellement normalement dotées, mais qui, en raison d’un épisode de vie difficile, d’une désorientation spirituelle ou d’une dépression, sont particulièrement instables ; dans de telles situations de vie, ces personnes peuvent se voir privées de leur capacité de jugement (Cassani, Der Begriff der arglistigen Täuschung als kriminalpolitische Herausforderung, in RPS 117/1999 pp. 152 ss, spéc. 166-167 et les réf. citées). Parmi ces circonstances de vie propres à affaiblir l’esprit d’une personne figure en particulier la perte d’un être cher (Cassani, op. cit., p. 167 et la réf. citée).</w:t>
      </w:r>
    </w:p>
    <w:p>
      <w:r>
        <w:rPr>
          <w:b/>
        </w:rPr>
        <w:t>E. 3.3</w:t>
      </w:r>
    </w:p>
    <w:p>
      <w:r>
        <w:t>En l’espèce, faute d’instruction, on ne sait rien de l’éventuelle faiblesse d’esprit dans laquelle se trouvait la plaignante au moment des faits. On sait uniquement qu’elle se trouvait fragilisée par le départ de son compagnon, d’une part, et qu’elle a été la victime d’une série d’affirmations fallacieuses visant à la mettre en confiance puis à la faire payer pour des services successifs (visite au Grand Maître, déplacement au [...] afin de recevoir la bénédiction de ce dernier, simulateur, ingrédients, étapes successives de la bénédiction, etc.), d’autre part. Or, d’après la jurisprudence, même ce qui n’a aucun fondement scientifique ou est impossible peut être l’objet d’une tromperie (cf. ATF 119 IV 210 consid. 3b sur la dianétique [Scientologie]).</w:t>
      </w:r>
    </w:p>
    <w:p>
      <w:r>
        <w:t>- 7 - Il paraît évident que la recourante s’est fait duper et, pour un esprit non fragilisé, la tromperie semble facilement détectable. Toutefois, il ne faut pas perdre de vue que la mesure de la diligence n’est pas objective, mais qu’elle doit être examinée de cas en cas, au vu des circonstances. En l’occurrence, à ce stade, il semble plutôt que le ou les auteurs aient profité d’un état d’instabilité vécu par la recourante. La commission d’une escroquerie ne peut donc pas être exclue. Au vu de ce qui précède, une ordonnance de non-entrée en matière ne pouvait pas être rendue et il appartiendra au Ministère public d’ouvrir une enquête afin de déterminer s’il y a eu un abus de faiblesse, ce qui pourrait fonder la réalisation de l’infraction d’escroquerie. Si l’interlocutrice de la plaignante n’est pas identifiable, la procédure pourra être suspendue. Il y aura toutefois lieu pour la Procureure d’entreprendre les démarches utiles en vue de tenter d’identifier la voyante D.________, notamment par le biais des nombreux numéros de téléphone qu’elle aurait utilisés pour contacter la plaignante. A ce propos, on relèvera encore que cette dernière prétend avoir été harcelée téléphoniquement et menacée de tous les maux après qu’elle avait fait part à la voyante de son intention de ne plus lui verser les sommes d’argent demandées. D’autres infractions pénales, notamment celle de l’art. 179septies CP, pourraient ainsi également entrer en ligne de compte.</w:t>
      </w:r>
    </w:p>
    <w:p>
      <w:r>
        <w:rPr>
          <w:b/>
        </w:rPr>
        <w:t>E. 4</w:t>
      </w:r>
    </w:p>
    <w:p>
      <w:r>
        <w:t>En définitive, le recours doit être admis, l’ordonnance querellée annulée et le dossier de la cause renvoyé au Ministère public de l’arrondissement de Lausanne pour qu’il ouvre une instruction pénale et procède dans le sens des considérants. Les frais de la procédure de recours, constitués en l’espèce du seul émolument d’arrêt (art. 422 al. 1 CPP), par 770 fr. (art. 20 al. 1 TFIP [Tarif des frais de procédure et indemnités en matière pénale du 28 septembre 2010 ; BLV 312.03.1]), seront laissés à la charge de l’Etat (art. 428 al. 4 CPP).</w:t>
      </w:r>
    </w:p>
    <w:p>
      <w:r>
        <w:t>- 8 - Le montant de 550 fr. versé par la recourante à titre de sûretés lui sera restitué (art. 7 TFIP). Par ces motifs, la Chambre des recours pénale prononce : I. Le recours est admis. II. L’ordonnance du 12 juillet 2019 est annulée. III. Le dossier de la cause est renvoyé au Ministère public de l’arrondissement de Lausanne pour qu’il procède dans le sens des considérants. IV. Les frais d’arrêt, par 770 fr. (sept cent septante francs), sont laissés à la charge de l’Etat. V. Le montant de 550 fr. (cinq cent cinquante francs) versé par I.________ à titre de sûretés lui est restitué. VI. L’arrêt est exécutoire. Le président : La greffière : Du Le présent arrêt, dont la rédaction a été approuvée à huis clos, est notifié, par l'envoi d'une copie complète, à : - Mme I.________, - Ministère public central, et communiqué à : - Mme la Procureure de l’arrondissement de Lausanne,</w:t>
      </w:r>
    </w:p>
    <w:p>
      <w:r>
        <w:t>- 9 -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