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PE19.010061 vom 25. März 2021</w:t>
      </w:r>
    </w:p>
    <w:p>
      <w:r>
        <w:t>VD Tribunal cantonal, 2021-03-25, FR</w:t>
      </w:r>
    </w:p>
    <w:p>
      <w:r>
        <w:rPr>
          <w:b/>
        </w:rPr>
        <w:t xml:space="preserve">Quelle: </w:t>
      </w:r>
      <w:r>
        <w:t>https://mcp.opencaselaw.ch/entscheid/vd_gerichte_PE19.010061</w:t>
      </w:r>
    </w:p>
    <w:p>
      <w:r>
        <w:t>FR: VD_GERICHTE PE19.010061 du 25 mars 2021</w:t>
      </w:r>
    </w:p>
    <w:p>
      <w:r>
        <w:t>IT: VD_GERICHTE PE19.010061 del 25 marzo 2021</w:t>
      </w:r>
    </w:p>
    <w:p>
      <w:pPr>
        <w:pStyle w:val="Heading2"/>
      </w:pPr>
      <w:r>
        <w:t>Erwägungen</w:t>
      </w:r>
    </w:p>
    <w:p>
      <w:r>
        <w:rPr>
          <w:b/>
        </w:rPr>
        <w:t>E. 4</w:t>
      </w:r>
    </w:p>
    <w:p>
      <w:r>
        <w:t>En définitive, il résulte de ce qui précède que le recours, manifestement mal fondé, doit être rejeté sans échange d’écritures (art. 390 al. 2 CPP) et l’ordonnance contestée confirmée.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est confirmée. III. Les frais d’arrêt, par 1'210 fr. (mille deux cent dix francs), sont mis à la charge d’X.________. IV. L’arrêt est exécutoire. Le président : La greffière :</w:t>
      </w:r>
    </w:p>
    <w:p>
      <w:r>
        <w:t>- 13 - Du Le présent arrêt, dont la rédaction a été approuvée à huis clos, est notifié, par l'envoi d'une copie complète, à : - Me Gilles-Antoine Hofstetter,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