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PE19.009619 vom 18. Dezember 2019</w:t>
      </w:r>
    </w:p>
    <w:p>
      <w:r>
        <w:t>VD Tribunal cantonal, 2019-12-18, FR</w:t>
      </w:r>
    </w:p>
    <w:p>
      <w:r>
        <w:rPr>
          <w:b/>
        </w:rPr>
        <w:t xml:space="preserve">Quelle: </w:t>
      </w:r>
      <w:r>
        <w:t>https://mcp.opencaselaw.ch/entscheid/vd_gerichte_PE19.009619</w:t>
      </w:r>
    </w:p>
    <w:p>
      <w:r>
        <w:t>FR: VD_GERICHTE PE19.009619 du 18 décembre 2019</w:t>
      </w:r>
    </w:p>
    <w:p>
      <w:r>
        <w:t>IT: VD_GERICHTE PE19.009619 del 18 dicembre 2019</w:t>
      </w:r>
    </w:p>
    <w:p>
      <w:pPr>
        <w:pStyle w:val="Heading2"/>
      </w:pPr>
      <w:r>
        <w:t>Erwägungen</w:t>
      </w:r>
    </w:p>
    <w:p>
      <w:r>
        <w:rPr>
          <w:b/>
        </w:rPr>
        <w:t>E. 5</w:t>
      </w:r>
    </w:p>
    <w:p>
      <w:r>
        <w:t>al. 1 let. c LEI. La condition objective de l’infraction réprimée par l’art. 115 al. 1 let. a LEtr est dès lors réalisée (cf. CAPE 3 août 2016/268 consid. III 1.3, publié in JdT 2016 III 175).</w:t>
      </w:r>
    </w:p>
    <w:p>
      <w:r>
        <w:t>- 22 - Il s’ensuit qu’une peine doit bien être prononcée pour cette infraction. 5.2.2 Les premiers juges ont considéré que la culpabilité de J.________ était lourde. Il se complaisait dans le trafic de drogue et n’avait pas pris conscience de la gravité de son comportement. C’était son arrestation qui avait mis fin à son trafic. Il avait présenté des excuses de circonstance et avait déjà demandé une seconde chance, qui lui avait déjà été accordée par la justice genevoise. Ces considérations doivent être suivies. L’intéressé ne peut pas invoquer une prétendue nécessité financière pour avoir agi comme il l’a fait, alors qu’il possède la nationalité portugaise et pouvait travailler licitement dans toute l’Europe, au lieu de commettre des infractions en Suisse. Il a pourtant choisi cette voie par appât du gain et il n’est aucunement crédible lorsqu’il dit ne pas avoir voulu gagner sa vie en vendant de la drogue. La seule infraction – grave – à la loi fédérale sur les stupéfiants justifiait déjà la peine privative de liberté de deux ans prononcée par les premiers juges, au vu des antécédents du prévenu, qui a été condamné pénalement à six reprises, dont plusieurs fois pour des infractions similaires. Une peine plus lourde en raison du concours avec l’infraction à la LEI ne peut pas être prononcée en raison du principe de l’interdiction de la reformatio in pejus, faute d’appel du Ministère public. La peine infligée à J.________ en première instance doit dès lors être confirmée, y compris l’amende pour la contravention à la loi fédérale sur les stupéfiants, qui n’est pas contestée.</w:t>
      </w:r>
    </w:p>
    <w:p>
      <w:r>
        <w:rPr>
          <w:b/>
        </w:rPr>
        <w:t>E. 6</w:t>
      </w:r>
    </w:p>
    <w:p>
      <w:r>
        <w:t>L’appelant conclut encore que la somme de 1'687 fr. 65 qui a été séquestrée lui soit restituée, en soutenant que cette somme proviendrait en partie de ses indemnités chômage en France et qu’il aurait notamment retiré 1'000 euros la veille de son arrestation, puis l’aurait changée.</w:t>
      </w:r>
    </w:p>
    <w:p>
      <w:r>
        <w:t>- 23 -</w:t>
      </w:r>
    </w:p>
    <w:p>
      <w:r>
        <w:rPr>
          <w:b/>
        </w:rPr>
        <w:t>E. 6.1</w:t>
      </w:r>
    </w:p>
    <w:p>
      <w:r>
        <w:t>Conformément à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L'art. 70 al. 1 CP autorise le juge à confisquer des valeurs patrimoniales qui sont le résultat d'une infraction, si elles ne doivent pas être restituées au lésé en rétablissement de ses droits. Inspirée de l'adage selon lequel « le crime ne paie pas », cette mesure a pour but d'éviter qu'une personne puisse tirer avantage d'une infraction (ATF 139 IV 209 consid. 5.3 et les arrêts cités). Pour appliquer cette disposition, il doit notamment exister entre l'infraction et l'obtention des valeurs patrimoniales un lien de causalité tel que la seconde apparaisse comme la conséquence directe et immédiate de la première (ATF 140 IV 57 consid. 4.1; ATF 129 II 453 consid. 4.1).</w:t>
      </w:r>
    </w:p>
    <w:p>
      <w:r>
        <w:rPr>
          <w:b/>
        </w:rPr>
        <w:t>E. 6.2</w:t>
      </w:r>
    </w:p>
    <w:p>
      <w:r>
        <w:t>Contrairement à ce que soutient l’appelant, la somme saisie par la police, composée notamment de 1'500 fr. dissimulés dans une chaussure, ne peut provenir que de son trafic de stupéfiants. On ne voit en particulier pas, sinon, pourquoi il aurait retiré cette somme en euros, pour la changer en francs suisses et la dissimuler dans une chaussure. Ainsi, il n'y a pas lieu de restituer au prévenu la somme de 1'687 fr. 65 séquestrée.</w:t>
      </w:r>
    </w:p>
    <w:p>
      <w:r>
        <w:rPr>
          <w:b/>
        </w:rPr>
        <w:t>E. 7</w:t>
      </w:r>
    </w:p>
    <w:p>
      <w:r>
        <w:t>Au vu de ce qui précède, l'appel doit être rejeté et le jugement attaqué confirmé. La détention subie par J.________ depuis le jugement de première instance sera déduite (art. 51 CP) et son maintien en détention à titre de sûreté sera ordonné pour garantir l’exécution de sa peine et de la mesure d’expulsion, compte tenu du risque de fuite qu’il présente.</w:t>
      </w:r>
    </w:p>
    <w:p>
      <w:r>
        <w:t>- 24 - Le défenseur d’office de J.________ a déposé à l’audience une liste d’opérations dont il n’y a pas lieu de s’écarter, sous réserve de la durée de l’audience, qui a été surestimée. C’est ainsi une indemnité de 2'640 fr. 60, correspondant à 19 heures d’activité au tarif horaire de 110 fr., à 2% de débours forfaitaires, par 41 fr. 80, à 320 fr. de vacations et à la TVA, par 188 fr. 80, qui sera allouée à Me David Métille pour la procédure d’appel. Vu l’issue de la cause, les frais d'appel, par 4'910 fr. 60, constitués de l'émolument de jugement (art. 21 al. 1 et 2 TFIP [Tarif des frais de procédure et indemnités en matière pénale du 28 septembre 2010; BLV 312.03.1]), par 2'270 fr., et de l’indemnité allouée à son défenseur d’office, par 2'640 fr. 60, seront mis à la charge de J.________, qui succombe (art. 428 al. 1 CPP). J.________ ne sera tenu de rembourser à l’Etat le montant de l'indemnité en faveur de son défenseur d’office que lorsque sa situation financière le permettra. La Cour d’appel pénale, appliquant les art. 40, 47, 49 al. 1 et 2, 50, 51, 69 et 106 CP ; 19 al. 1 let. b, c, d et g, 19 al. 2 let. a et 19a ch. 1 LStup; 115 al. 1 let. b LEI et 398 ss CPP, prononce : I. L'appel est rejeté. II. Le jugement rendu le 18 décembre 2019 par le Tribunal correctionnel de l'arrondissement de La Côte est confirmé selon le dispositif suivant : "I. Constate que J.________ s’est rendu coupable d’infraction grave à la loi fédérale sur les stupéfiants, d’infraction à la loi</w:t>
      </w:r>
    </w:p>
    <w:p>
      <w:r>
        <w:t>- 25 - fédérale sur les étrangers et l’intégration et de contravention à la loi fédérale sur les stupéfiants ; II. Condamne J.________ à une peine privative de liberté de 24 (vingt-quatre) mois ferme, sous déduction de 172 (cent septante-deux) jours de détention provisoire et de 46 (quarante-six) jours d’exécution anticipée de peine, étant précisé que 8 (huit) jours supplémentaires à titre de réparation pour le tort moral subi suite aux 15 (quinze) jours de détention provisoire subie dans des conditions illicites seront déduits de la peine prononcée, ainsi qu’à une amende de 500 fr. (cinq cents) francs, convertible en 5 (cinq) jours de peine privative de liberté de substitution en cas de non-paiement fautif ; III. Ordonne l’expulsion de J.________ du territoire suisse pour une durée de 8 (huit) ans ; IV. Ordonne le maintien en détention de J.________ pour garantir l’exécution de la peine et de la mesure d’expulsion ; V. Ordonne la confiscation et la destruction des 9 parachutes d’un poids total de 7.4 grammes bruts, séquestrés sous fichen° S19.001925, des 38.2 grammes bruts de poudre blanche, séquestrés sous fiche n° S19.001925, des 5 parachutes d’un poids total de 4.5 grammes, séquestrés sous fiche n° S19.000611, ainsi que du téléphone SAMSUNG blanc n° d’appel […], du téléphone SAMSUNG n° d’appel […], du smartphone KLIPAD et de la E-trottinette, séquestrés sous fiche n°26240 ; VI. Ordonne la confiscation et la dévolution à l’Etat de la somme de 1'687 fr. 65 (mille six cent huitante-sept francs et soixante-cinq centimes), séquestrée sous fiche n° 25948 ; VII. Ordonne la levée du séquestre et la restitution à J.________ de la carte d’identité portugaise à son nom, séquestrée sous fiche n° 26240 ;</w:t>
      </w:r>
    </w:p>
    <w:p>
      <w:r>
        <w:t>- 26 - VIII. Fixe à 8'572 fr. 80 (huit mille cinq cent septante-deux francs et huitante centimes), débours et TVA inclus, l’indemnité allouée à Me David Métille, défenseur d’office de J.________ ; IX. Met les frais de procédure, arrêtés à 15'500 fr. 45 (quinze mille cinq cent francs et quarante-cinq centimes), comprenant notamment l’indemnité allouée à Me David Métille conformément au ch. VIII ci-dessus, à la charge de J.________ ; X. Dit que J.________ ne sera tenu de rembourser à l’Etat le montant de l’indemnité allouée à son défenseur d’office et mise à sa charge, conformément au ch. IX ci-dessus, que lorsque sa situation financière le permettra." III. La détention subie depuis le jugement de première instance est déduite. IV.Le maintien en détention de J.________ à titre de sûreté est ordonné. V. Une indemnité de défenseur d'office pour la procédure d'appel d'un montant de 2'640 fr. 60, TVA et débours inclus, est allouée à Me David Métille. VI.Les frais d'appel, par 4'910 fr. 60, y compris l'indemnité allouée au défenseur d'office sous ch. V. ci-dessus, sont mis à la charge de J.________. VII. J.________ ne sera tenu de rembourser à l’Etat le montant de l’indemnité en faveur de son défenseur d’office prévue au ch. V ci-dessus que lorsque sa situation financière le permettra. Le président : Le greffier :</w:t>
      </w:r>
    </w:p>
    <w:p>
      <w:r>
        <w:t>- 27 - Du Le jugement qui précède, dont le dispositif a été communiqué par écrit aux intéressés le 11 juin 2020, est notifié, par l'envoi d'une copie complète, à : - Me David Métille, avocat (pour J.________), - Ministère public central, et communiqué à : - M. le Président du Tribunal correctionnel de l'arrondissement de La Côte, - M. le Procureur de l’arrondissement de l’Est vaudois, - Office d'exécution des peines, - Direction de la prison de la Croisée, - Service de la population, par l'envoi de photocopies.</w:t>
      </w:r>
    </w:p>
    <w:p>
      <w:r>
        <w:t>- 28 -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