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PE19.009617 vom 12. Juni 2019</w:t>
      </w:r>
    </w:p>
    <w:p>
      <w:r>
        <w:t>VD Tribunal cantonal, 2019-06-12, FR</w:t>
      </w:r>
    </w:p>
    <w:p>
      <w:r>
        <w:rPr>
          <w:b/>
        </w:rPr>
        <w:t xml:space="preserve">Quelle: </w:t>
      </w:r>
      <w:r>
        <w:t>https://mcp.opencaselaw.ch/entscheid/vd_gerichte_PE19.009617</w:t>
      </w:r>
    </w:p>
    <w:p>
      <w:r>
        <w:t>FR: VD_GERICHTE PE19.009617 du 12 juin 2019</w:t>
      </w:r>
    </w:p>
    <w:p>
      <w:r>
        <w:t>IT: VD_GERICHTE PE19.009617 del 12 giugno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d’G.________ est recevable.</w:t>
      </w:r>
    </w:p>
    <w:p>
      <w:r>
        <w:rPr>
          <w:b/>
        </w:rPr>
        <w:t>E. 2.1</w:t>
      </w:r>
    </w:p>
    <w:p>
      <w:r>
        <w:t>Aux termes de l'art. 310 al. 1 let. a CPP, une ordonnance de non-entrée en matière est rendue immédiatement – c’est-à-dire sans qu’une instruction soit ouverte (art. 309 al. 1 et 4 CPP; TF 1B_111/2012 du</w:t>
      </w:r>
    </w:p>
    <w:p>
      <w:r>
        <w:rPr>
          <w:b/>
        </w:rPr>
        <w:t>E. 2.2</w:t>
      </w:r>
    </w:p>
    <w:p>
      <w:r>
        <w:t>En l’espèce, le recourant ne développe aucun moyen à l’encontre du raisonnement tenu par le Ministère public. Il fait valoir pour l’essentiel que le dénommé [...], qui aurait également été hospitalisé à [...], aurait reconnu qu’il travaillait pour S.________, qu’il se serait rendu sur place « par curiosité » et pour sa « responsabilité de citoyen », qu’il aurait alors été agressé, dénigré et battu par S.________ et que celui-ci devrait lui verser le montant de 5'500 fr. pour le dédommager. Or selon le rapport de la gendarmerie qui figure au dossier (P. 4), les explications fournies par G.________ étaient nébuleuses et il n’a pu donner aucun renseignement clair au sujet du prénommé [...]. Au surplus, G.________ était connu pour souffrir de troubles psychologiques. Dans ces circonstances, les déclarations du recourant sont sujettes à caution. Partant, le choix de la Procureure de ne pas entrer en matière n’est pas critiquable. Au demeurant, on ne voit pas quels éléments supplémentaires auraient pu conduire à l’ouverture d’une instruction pénale au sens formel. 3. En définitive, le recours interjeté par G.________, manifestement mal fondé, doit être rejeté sans échange d’écritures (art. 390 al. 2 CPP) et l’ordonnance du 21 mai 2019 confirmée. Les frais de la procédure de recours, constitués en l’espèce du seul émolument d’arrêt (art. 422 al. 1 CPP), par 660 fr. (art. 20 al. 1 TFIP [Tarif des frais de procédure et indemnités en matière pénale du 28 septembre 2010; BLV 312.03.1]), seront mis à la charge du recourant, qui succombe (art. 428 al. 1 CPP). Par ces motifs, la Chambre des recours pénale prononce :</w:t>
      </w:r>
    </w:p>
    <w:p>
      <w:r>
        <w:t>- 7 - I. Le recours est rejeté. II. L’ordonnance du 21 mai 2019 est confirmée. III. Les frais de la procédure de recours, par 660 fr. (six cent soixante francs), sont mis la charge d’G.________. IV. L’arrêt est exécutoire. Le président : La greffière : Du Le présent arrêt, dont la rédaction a été approuvée à huis clos, est notifié, par l'envoi d'une copie complète, à : - M. G.________, - M. S.________,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w:t>
      </w:r>
    </w:p>
    <w:p>
      <w:r>
        <w:t>- 5 - Selon cette disposition, il importe donc que les éléments constitutifs de l'infraction ne soient manifestement pas réunis. En d'autres termes, il faut être certain que l'état de fait ne constitue aucune infraction (ATF 137 IV 285 consid. 2.3 p. 287).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TF 6B_193/2018 du 3 juillet 2018 consid. 2.1; TF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TF 6B_874/2017 du 18 avril 2018 consid. 5.1). Suivant les circonstances, les mêmes motifs peuvent aussi permettre, en particulier si la crédibilité de la partie plaignante est d'emblée remise en question par des éléments</w:t>
      </w:r>
    </w:p>
    <w:p>
      <w:r>
        <w:t>- 6 - manifestement probants, de rendre une décision de non-entrée en matière (TF 6B_766/2018 du 28 septembre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