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PE19.009544 vom 17. Juni 2019</w:t>
      </w:r>
    </w:p>
    <w:p>
      <w:r>
        <w:t>VD Tribunal cantonal, 2019-06-17, FR</w:t>
      </w:r>
    </w:p>
    <w:p>
      <w:r>
        <w:rPr>
          <w:b/>
        </w:rPr>
        <w:t xml:space="preserve">Quelle: </w:t>
      </w:r>
      <w:r>
        <w:t>https://mcp.opencaselaw.ch/entscheid/vd_gerichte_PE19.009544</w:t>
      </w:r>
    </w:p>
    <w:p>
      <w:r>
        <w:t>FR: VD_GERICHTE PE19.009544 du 17 juin 2019</w:t>
      </w:r>
    </w:p>
    <w:p>
      <w:r>
        <w:t>IT: VD_GERICHTE PE19.009544 del 17 giugno 2019</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 Killias, in : Kuhn/Jeanneret [éd.], Commentaire romand, Code de procédure pénale suisse, Bâle 2011, n. 5 ad art. 356 CPP ; Riklin, in : Niggli/Heer/Wiprächtiger [éd.],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de X.________ est recevable.</w:t>
      </w:r>
    </w:p>
    <w:p>
      <w:r>
        <w:rPr>
          <w:b/>
        </w:rPr>
        <w:t>E. 2</w:t>
      </w:r>
    </w:p>
    <w:p>
      <w:r>
        <w:t>- 4 -</w:t>
      </w:r>
    </w:p>
    <w:p>
      <w:r>
        <w:rPr>
          <w:b/>
        </w:rPr>
        <w:t>E. 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recours de dix jours – qui ne peut pas être prolongé (cf. art. 89 al. 1 CPP) – commence à courir le jour qui suit la notification de l’ordonnance entreprise (art. 90 al. 1 et 384 let. b CPP). Le recours écrit doit être remis au plus tard le dernier jour du délai à l’autorité pénale, à la Poste suisse, à une représentation consulaire ou diplomatique suisse ou, s’agissant de personnes détenues, à la direction de l’établissement carcéral (art. 91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6B_233/2017 du 12 décembre 2017 ; TF 6B_1336/2017 du 22 mai 2017 consid. 2.2).</w:t>
      </w:r>
    </w:p>
    <w:p>
      <w:r>
        <w:t>- 5 -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consid. 2.3 ; TF 8C_621/2007 du 5 mai 2008 consid. 4.2). 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(ATF 142 IV 201 consid. 2.3 ; TF 6B_233/2017 du 12 décembre 2017 consid. 2.3.2 ; TF 6B_314/2012 du 18 février 2013 consid. 1.4.1 ; TF 6B_281/2012 du 9 octobre 2012 consid. 2.1 et les réf. citées). Le délai de garde de sept jours commence alors à courir et, à son terme, la notification est réputée avoir lieu (fiction), avec les conséquences procédurales que cela implique. Du fait notamment que l'absence de remise constitue un fait négatif, le destinataire est admis à démontrer, au degré de la vraisemblance prépondérante, que l'avis n'a pas été remis correctement dans sa boîte aux lettres. La simple éventualité qu'une erreur soit possible ne suffit pas. Il faut bien plutôt que le destinataire apporte des éléments concrets mettant en exergue l'existence d'une erreur. Savoir si la contre-preuve a été apportée ou non relève de l'appréciation des preuves (ATF 142 IV 201 consid. 2.3 ; TF 6B_233/2017 du 12 décembre 2017 consid. 2.3.2).</w:t>
      </w:r>
    </w:p>
    <w:p>
      <w:r>
        <w:t>- 6 -</w:t>
      </w:r>
    </w:p>
    <w:p>
      <w:r>
        <w:rPr>
          <w:b/>
        </w:rPr>
        <w:t>E. 2.2</w:t>
      </w:r>
    </w:p>
    <w:p>
      <w:r>
        <w:t>En l’espèce, le recourant soutient ne pas avoir reçu l’avis de retrait postal du pli recommandé contenant l’ordonnance pénale dans sa boîte aux lettres. Il ne conteste en revanche pas avoir su qu’une procédure pénale était ouverte contre lui ; à cet égard, il admet notamment avoir reçu le mandat de comparution qui lui avait précédemment été adressé par la Préfecture du district Riviera - Pays- d’Enhaut et il a d’ailleurs été entendu par le Préfet le 8 avril 2019. Il ressort du suivi des envois de La Poste Suisse figurant au dossier préfectoral que le recourant a bien été avisé de la réception d’un pli recommandé pour retrait le 15 avril 2019. Les arguments invoqués par ce dernier ne sont pas de nature à renverser cette présomption. En effet, le fait qu’il ait retiré d’autres envois recommandés dans le cadre de cette procédure ne signifie pas encore qu’il n’ait pas reçu l’avis litigieux, concernant le retrait du pli contenant l’ordonnance querellée. Il est tout aussi envisageable que cet avis se soit mélangé à de la publicité et ait été jeté par inadvertance, par exemple. Le recourant invoque des problèmes de distribution de courrier dans sa commune de domicile. Or ces problèmes ne sont pas démontrés, X.________ ne produisant aucun élément qui permettrait de renverser la présomption de distribution de l’avis. En outre, il n’appartient pas à l’autorité de recours, comme le voudrait l’intéressé, d’entreprendre des recherches à ce sujet en interpellant le siège central de La Poste Suisse. En définitive, c’est donc à juste titre que le Tribunal de police a considéré que, X.________ ayant été avisé de la réception du pli recommandé contenant l’ordonnance pénale le 15 avril 2019, l’opposition de ce dernier, remise à la poste le 6 mai 2019, soit après l’échéance du délai de dix jours dès notification, réputée intervenue le 3 mai 2019 compte tenu du délai de garde de sept jours (et non le 23 avril 2019 comme l’a retenu le premier juge), était tardive.</w:t>
      </w:r>
    </w:p>
    <w:p>
      <w:r>
        <w:t>- 7 -</w:t>
      </w:r>
    </w:p>
    <w:p>
      <w:r>
        <w:rPr>
          <w:b/>
        </w:rPr>
        <w:t>E. 3</w:t>
      </w:r>
    </w:p>
    <w:p>
      <w:r>
        <w:t>Il résulte de ce qui précède que le recours, manifestement mal fondé, doit être rejeté sans échange d’écritures (art. 390 al. 2 CPP) et le prononcé attaqué confirmé. Les frais de la procédure de recours, constitués en l’espèce du seul émolument d’arrêt, par 540 fr. (art. 20 al. 1 TFIP [Tarif des frais de procédure et indemnités en matière pénale du 28 septembre 2010 ; BLV 312.03.1]), seront mis à la charge du recourant, qui succombe (art. 428 al. 1, 1re phrase, CPP). Par ces motifs, la juge unique prononce : I. Le recours est rejeté. II. Le prononcé du 16 mai 2019 est confirmé. III. Les frais d’arrêt, par 540 fr. (cinq cent quarante francs), sont mis à la charge de X.________. IV. L’arrêt est exécutoire. La juge unique : La greffière : Du Le présent arrêt, dont la rédaction a été approuvée à huis clos, est notifié, par l'envoi d'une copie complète, à : - Me Xavier Diserens, avocat (pour X.________), - Ministère public central,</w:t>
      </w:r>
    </w:p>
    <w:p>
      <w:r>
        <w:t>- 8 - et communiqué à : - Mme la Présidente du Tribunal de police de l’arrondissement de l’Est vaudois, - Mme la Procureure du Ministère public central, division affaires spéciales, - M. le Préfet du district Riviera - Pays-d’Enhaut,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