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PE19.009237 vom 20. September 2024</w:t>
      </w:r>
    </w:p>
    <w:p>
      <w:r>
        <w:t>VD Tribunal cantonal, 2024-09-20, FR</w:t>
      </w:r>
    </w:p>
    <w:p>
      <w:r>
        <w:rPr>
          <w:b/>
        </w:rPr>
        <w:t xml:space="preserve">Quelle: </w:t>
      </w:r>
      <w:r>
        <w:t>https://mcp.opencaselaw.ch/entscheid/vd_gerichte_PE19.009237</w:t>
      </w:r>
    </w:p>
    <w:p>
      <w:r>
        <w:t>FR: VD_GERICHTE PE19.009237 du 20 septembre 2024</w:t>
      </w:r>
    </w:p>
    <w:p>
      <w:r>
        <w:t>IT: VD_GERICHTE PE19.009237 del 20 settembre 2024</w:t>
      </w:r>
    </w:p>
    <w:p>
      <w:pPr>
        <w:pStyle w:val="Heading2"/>
      </w:pPr>
      <w:r>
        <w:t>Erwägungen</w:t>
      </w:r>
    </w:p>
    <w:p>
      <w:r>
        <w:rPr>
          <w:b/>
        </w:rPr>
        <w:t>E. 3</w:t>
      </w:r>
    </w:p>
    <w:p>
      <w:r>
        <w:t>En définitive, le recours doit être admis, l’ordonnance annulée en ce qu’elle concerne la recourante et le dossier renvoyé au Ministère public de l’arrondissement de Lausanne pour qu’il mette en accusation P.________ pour abus de confiance qualifié s’agissant des faits qui lui sont reprochés en lien avec E.________ SA. E.________ SA, qui a procédé avec l’assistance d’un conseil de choix et qui a obtenu gain de cause, a droit à une indemnité pour les dépenses occasionnées par la procédure de recours. Au vu du recours et des déterminations déposées ainsi que de la nature de l’affaire, celle-ci sera fixée à 1'500 fr., correspondant à 5 heures d’activité nécessaire d’avocat au tarif horaire de 300 fr. (art. 26a al. 3 TFIP [tarif des frais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30 fr., plus la TVA au taux de 8,1 %, par 123 fr. 95, soit à 1’654 fr. au total, en chiffres arrondis, TVA et débours compris, à la charge de l’Etat. Il n’y a pas lieu d’allouer une indemnité au prévenu, représenté par un défenseur de choix, qui a conclu au rejet du recours. Vu le sort du recours, les frais de la procédure, constitués du seul émolument d’arrêt, par 1’430 fr. (art. 20 al. 1 TFIP), seront mis à la charge de l’Etat (art. 428 al. 4 CPP). Le montant de 770 fr. déjà versé par</w:t>
      </w:r>
    </w:p>
    <w:p>
      <w:r>
        <w:t>- 15 - la recourante à titre de sûretés lui sera restitué (art. 383 al. 1 CPP ; art. 7 TFIP). Par ces motifs, la Chambre des recours pénale prononce : I. Le recours est admis. II. L’ordonnance du 25 mars 2024 est annulée en ce qu’elle concerne la plaignante E.________ SA. Elle est confirmée pour le surplus. III. Le dossier est renvoyé au Ministère public de l’arrondissement de Lausanne pour qu’il procède dans le sens des considérants. IV. Les frais d’arrêt, par 1’430 fr. (mille quatre cent trente francs), sont laissés à la charge de l’Etat. V. Le montant de 770 fr. (sept cent septante francs) versé par E.________ SA à titre de sûretés lui est restitué. VI. Une indemnité de 1’654 fr. (mille six cent cinquante-quatre francs) est allouée à E.________ SA pour la procédure de recours, à la charge de l’Etat. VII. L’arrêt est exécutoire. Le président : Le greffier : Du Le présent arrêt, dont la rédaction a été approuvée à huis clos, est notifié, par l'envoi d'une copie complète, à : - Me Jérôme Bénédict, avocat (pour E.________ SA) - Me Xavier Pétremand, avocat (pour P.________), - Ministère public central,</w:t>
      </w:r>
    </w:p>
    <w:p>
      <w:r>
        <w:t>- 16 - et communiqué à : - M. le Procureur de l’arrondissement de Lausanne, - M. R.________, - M. M.________, - M. H.________, - [...] Sàrl, - Ville de [...], - Mme [...], - Me Franck Amman, avocat (pour [...] SA), - Me Christian Jaccard, avocat (pour [...] SA), - Me David Abikzer, avocat (pour [...]), - Me Xavier Diserens, avocat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