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PE19.009023 vom 30. Juni 2022</w:t>
      </w:r>
    </w:p>
    <w:p>
      <w:r>
        <w:t>VD Tribunal cantonal, 2022-06-30, FR</w:t>
      </w:r>
    </w:p>
    <w:p>
      <w:r>
        <w:rPr>
          <w:b/>
        </w:rPr>
        <w:t xml:space="preserve">Quelle: </w:t>
      </w:r>
      <w:r>
        <w:t>https://mcp.opencaselaw.ch/entscheid/vd_gerichte_PE19.009023</w:t>
      </w:r>
    </w:p>
    <w:p>
      <w:r>
        <w:t>FR: VD_GERICHTE PE19.009023 du 30 juin 2022</w:t>
      </w:r>
    </w:p>
    <w:p>
      <w:r>
        <w:t>IT: VD_GERICHTE PE19.009023 del 30 giugno 2022</w:t>
      </w:r>
    </w:p>
    <w:p>
      <w:pPr>
        <w:pStyle w:val="Heading2"/>
      </w:pPr>
      <w:r>
        <w:t>Erwägungen</w:t>
      </w:r>
    </w:p>
    <w:p>
      <w:r>
        <w:rPr>
          <w:b/>
        </w:rPr>
        <w:t>E. 7.1</w:t>
      </w:r>
    </w:p>
    <w:p>
      <w:r>
        <w:t>L’appelant conteste sa condamnation pour lésions corporelles, menaces et injures. Il relève que tous les éléments retenus à charge se fondent sur les seules déclarations de la plaignante, qui sont en contradiction avec les témoignages de B.________ et N.________, dont il requiert une nouvelle audition.</w:t>
      </w:r>
    </w:p>
    <w:p>
      <w:r>
        <w:rPr>
          <w:b/>
        </w:rPr>
        <w:t>E. 7.2</w:t>
      </w:r>
    </w:p>
    <w:p>
      <w:r>
        <w:t>Aux termes de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tout acte qui provoque un état maladif, l'aggrave ou en retarde la guérison, comme les</w:t>
      </w:r>
    </w:p>
    <w:p>
      <w:r>
        <w:t>- 32 - blessures, les meurtrissures, les écorchures ou les griffures, sauf si ces lésions n'ont pas d'autres conséquences qu'un trouble passager et sans importance du sentiment de bien-être (ATF 134 IV 189 consid. 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7.3.1</w:t>
      </w:r>
    </w:p>
    <w:p>
      <w:r>
        <w:t>S’agissant des violences conjugales, on doit admettre que la plaignante est crédible pour les motifs suivants : Dans un certificat du 10 juillet 2019, le Dr Z.________ a relaté que lors des consultations des 17 et 31 août 2018 - soit avant la séparation - C.X.________ lui avait dit qu’elle subissait des violences conjugales depuis 6 ans ainsi que des menaces et du chantage de la part de son mari. Le 17 août 2018, elle lui a également raconté qu’elle avait été saisie à la gorge par son mari le soir précédent et poussée contre un canapé, ce qui aurait entraîné des douleurs de la nuque et du cou à la</w:t>
      </w:r>
    </w:p>
    <w:p>
      <w:r>
        <w:t>- 33 - déglutition. L’examen médical effectué a mis en évidence des douleurs importantes à la palpation et à la mobilisation cervicale, ainsi que des douleurs à la palpation des trapèzes des deux côtés et au niveau de la trachée. Le médecin n’a pas constaté d’hématome, de tuméfaction ou de plaies (P. 20 et 23). Ainsi, la plaignante a révélé les violences domestiques avant la séparation, ce qui la rend particulièrement crédible. De plus, l’intimée a témoigné de manière constante sur les violences subies. Ainsi, le 26 avril 2019, elle a affirmé à la police qu’elle se faisait régulièrement frapper, étrangler et insulter, précisant qu’elle n’avait jamais perdu connaissance à la suite des coups et étranglements (P. 4). Lors de sa consultation du 29 avril 2019, C.X.________ a relaté les injures et violences subies, mentionnant notamment que vers la mi ou fin mars 2019, son mari l’avait traitée de « pute », saisie par un bras, tirée vers lui avant de la jeter contre la porte d’entrée, puis l’avait saisie au cou qu’il avait serré ; il l’avait enfin poussée au sol. Elle a relevé que les violences avaient commencé en 2012 et dit avoir déjà appelé le Centre J.________ ; elle était très inquiète pour sa sécurité et disait ne pas avoir quitté le domicile conjugal en raison des menaces de son mari de la renvoyer au Kosovo (P. 12/1). Les intervenants de J.________ ont expliqué que l’intimée leur avait confié les violences infligées sous diverses formes par son mari. Ils ont également observé l’impact des violences sur la stabilité psychique et physique de l’intéressée, celle-ci souffrant de troubles du sommeil, de perte d’appétit, d’états de faiblesse, d’état d’hypervigilance et de crises d’angoisses (P. 19). Lors de son audition par la Procureure le 12 juin 2019, C.X.________ a également expliqué son absence de réactions, relevant qu’elle avait toute sa famille qui était contre elle et qu’elle craignait que l’appelant mette ses menaces à exécution, ayant peur de ne plus jamais voir ses enfants (PV aud. 1, ligne 218 ss). Elle a confirmé être victime de violences conjugales dès son arrivée en Suisse en 2012. Elle a relaté de manière détaillée divers épisodes de violence et a expliqué qu’à une</w:t>
      </w:r>
    </w:p>
    <w:p>
      <w:r>
        <w:t>- 34 - occasion, soit à la fin de l’été ou à l’automne 2018, elle avait appelé la police car son mari voulait se suicider, précisant que celui-ci s’était rendu sur le balcon avec un couteau et un câble (PV aud. 1, lignes 147 ss). Ce dernier événement est corroboré par la pièce 16/1, qui fait état de l’intervention de la police au domicile des parties en date du 5 juillet 2018 pour « suicide-tentative » à la suite d’un appel de l’intimée, la police ayant précisé que l’appelant avait noué à la barrière de protection du balcon une rallonge d’environ 5 mètres et qu’au terme d’une discussion avec la patrouille, il avait accepté d’être remis au personnel soignant. Il résulte en outre de l’expertise effectuée dans le cadre de la procédure civile que l’intervenante du Centre d’accueil de J.________ a rapporté que K.________ avait pu dire des phrases telles que « on rentre à la maison, on appartient à papa et tant pis si tu te fais taper » (P. 119/ p. 18). L’appelant fait valoir qu’on ignore les circonstances dans lesquelles l’enfant a tenu ces propos. Peu importe toutefois. Quant au fait que l’enfant ne s’exprimait pas – ou ne parlait pas français –, l’appelant ne saurait rien en tirer puisqu’il est précisé que tel était le cas « à son arrivée au centre » (ibidem). Dans le cadre de leurs auditions en cours d’instruction, les témoins B.________ et N.________ ont pour l’essentiel relaté que, comme voisines, elles n’avaient jamais rien vu, ni entendu, alors que les appartements étaient très mal insonorisés, et que la plaignante n’avait jamais évoqué de violences sur elle ou sur les enfants avant de quitter le domicile conjugal (PV aud. 7 et 8). Lors de l’audience de première instance, la victime a dit ce qui suit : « Je ne comprends pas pourquoi Mesdames B.________ et N.________ ont dit qu’elles n’avaient rien entendu et rien vu car en réalité B.________ était celle qui venait me voir lorsqu’elle entendait des coups. Elle attendait qu’il parte et venait ensuite. Je pense que je les comprends et qu’elles ont eu peur et qu’elles ont peut-être été menacées » (jugt, p. 9). Dans le cadre de la procédure d’appel, le prévenu a produit un courrier de B.________ et N.________, ces dernières étant mécontentes des déclarations de la plaignante et contestant avoir peur ou avoir été influencées par le prévenu. Comme les premiers juges l’ont</w:t>
      </w:r>
    </w:p>
    <w:p>
      <w:r>
        <w:t>- 35 - relevé à juste titre, le témoignage de ces deux personnes doit être écarté, dès lors que, d’une part, tant l’une que l’autre ont admis avoir eu une conversation à propos de cette affaire après leur convocation à comparaître mais avant leur audition respective et que, d’autre part, B.________ a également admis en avoir discuté avec B.X.________ et avoir été contrariée que l’intimée ait laissé croire à l’appelant que c’était N.________ et elle qui avaient organisé son départ à J.________. Il résulte par ailleurs du témoignage de B.________ qu’en réalité elle n’a jamais questionné la victime, ne voulant pas rentrer dans les affaires privées des parties au motif que c’était trop personnel (PV aud. 7). De plus, il ressort du dernier courrier de ces témoins qu’elles sont très fâchées contre C.X.________, réfléchissant à déposer plainte contre cette dernière pour diffamation à la suite des déclarations de l’intimée en première instance (P. 157/2.5). L’appelant requiert une nouvelle audition de ces témoins, ce qui est tout à fait inutile, leur point de vue étant connu et ceux-ci n’ayant pas été dans l’intimité ou la sphère privée du couple [...], selon leurs propres déclarations. Ces réquisitions doivent par conséquent être rejetées. Enfin, force est de constater que l’appelant a lui-même admis que lui et son épouse avaient eu des disputes au cours desquelles des insultes avaient été proférées de part et d’autre. Au surplus, si l’on suit ses explications initiales selon lesquelles son épouse le griffait et le giflait parfois, on voit mal que l’appelant – que son frère décrit d’ailleurs comme une personne impulsive – se soit limité à la « repouss[er] un petit peu pour qu’elle arrête » (P. 4, p. 6). L’appelant n’est tout simplement pas crédible. Au regard de l’ensemble des éléments précités, les objections avancées par B.X.________ ne suscitent aucun doute sur la crédibilité de C.X.________ et, partant, sur la réalisation des faits punissables, tels que retenus par les premiers juges sur la base des déclarations de l’intimée, de sorte qu’on doit admettre que l’appelant a violenté, menacé et injurié</w:t>
      </w:r>
    </w:p>
    <w:p>
      <w:r>
        <w:t>- 36 - son épouse. Le jugement ne procède donc pas non plus, sur ce point, d’une violation de la présomption d’innocence.</w:t>
      </w:r>
    </w:p>
    <w:p>
      <w:r>
        <w:rPr>
          <w:b/>
        </w:rPr>
        <w:t>E. 7.3.2</w:t>
      </w:r>
    </w:p>
    <w:p>
      <w:r>
        <w:t>L’appelant conteste également sa condamnation pour lésions corporelles, au motif qu’aucune marque ni lésion n’a jamais été constatée sur l’intimée. Si le Dr Z.________ n’a pas constaté d’hématome, de tuméfaction ou de plaies sur l’intimée, son examen médical a toutefois mis en évidence des douleurs importantes à la palpation et à la mobilisation cervicale, des douleurs à la palpation des trapèzes des deux côtés ainsi qu’au niveau de la trachée (P. 20 et 23). L’intimée a également expliqué que les coups portés lui avaient provoqué des bleus, que les coups étaient violents et que souvent elle tombait (PV aud. 1, lignes 124 ss). Or, comme relevé ci-avant, il n’y aucune raison de mettre en doute sa crédibilité.</w:t>
      </w:r>
    </w:p>
    <w:p>
      <w:r>
        <w:rPr>
          <w:b/>
        </w:rPr>
        <w:t>E. 7.3.3</w:t>
      </w:r>
    </w:p>
    <w:p>
      <w:r>
        <w:t>Au vu de ces éléments, la condamnation de l’appelant pour lésions corporelles simples qualifiées pour les cas 2 et 5 de l’acte d’accusation, pour menaces qualifiées pour le cas 3 et pour injure pour le cas 5 doit être confirmée.</w:t>
      </w:r>
    </w:p>
    <w:p>
      <w:r>
        <w:rPr>
          <w:b/>
        </w:rPr>
        <w:t>E. 8.1</w:t>
      </w:r>
    </w:p>
    <w:p>
      <w:r>
        <w:t>L’appelant conteste avoir exercé des violences sur ses enfants. Il relève notamment que, selon l’expertise, son fils U.________ n’est pas crédible, que les témoins ont déclaré qu’il n’avait jamais été violent envers ses enfants et qu’aucun pédiatre ni aucun enseignement ou éducateur n’a constaté de marques. En appel, le Ministère public a, dans un premier temps, soutenu que l’appelant devait également être condamné pour lésions corporelles simples pour les violences exercées sur K.________, son frère U.________ ayant déclaré que leur père tapait fort. Il a ensuite toutefois retiré son appel joint sur ce point.</w:t>
      </w:r>
    </w:p>
    <w:p>
      <w:r>
        <w:t>- 37 -</w:t>
      </w:r>
    </w:p>
    <w:p>
      <w:r>
        <w:rPr>
          <w:b/>
        </w:rPr>
        <w:t>E. 8.2</w:t>
      </w:r>
    </w:p>
    <w:p>
      <w:r>
        <w:t>Le Dr M.________ a réalisé l’expertise de crédibilité d’U.________ (P. 103). En bref, il a conclu que l’immaturité langagière de l’enfant, sa difficulté à fournir un récit structuré respectant la chronologie et à apporter beaucoup de détails ne permettaient pas de fournir un récit répondant aux critères du protocole SVA, mais qu’il ne s’agissait pas pour autant de conclure que son discours était construit, fabriqué ou inventé. L’expert a rappelé que le protocole SVA n’était applicable que pour les enfants qui étaient âgés de plus de six ans, qu’en dessous de cet âge ils n’avaient pas des compétences narratives suffisantes pour fournir un récit suffisamment structuré pouvant être analysé par l’intermédiaire de ce protocole, que même si U.________ avait légèrement plus que cet âge, ses compétences langagières étaient moins bonnes que celles attendues chez un enfant de cet âge et que, dès lors, il n’était pas étonnant que très peu de critères du protocole SVA aient été validés. L’expert a relevé que, sur la base de cette analyse, il ne lui était pas possible d’affirmer que le discours de l’enfant présentait un degré important de crédibilité. Néanmoins, il n’a relevé aucune contradiction, ni incohérence dans les propos de l’enfant, qui avait été en mesure d’exprimer, à réitérées reprises, que son père l’avait frappé, ainsi que son frère K.________, notamment lorsqu’ils couraient autour de la table du salon. En outre, l’expert a indiqué n’avoir identifié aucun élément le conduisant à considérer que l’enfant avait subi des influences et qu’il était convaincu qu’U.________, qui formulaient ses déclarations dans son propre langage sans reprendre les propos d’adultes, rapportait des expériences qu’il avait pleinement vécues. En définitive, il résulte de l’expertise que l’analyse selon le protocole SVA ne permet pas de conclure à la crédibilité de l’enfant, mais que ce résultat ne doit pas inciter à conclure ipso facto que la crédibilité d’U.________ est inexistante, mais plutôt qu’il peine à décrire des faits qui, selon l’appréciation de l’expert, se sont bel et bien déroulés. Par ailleurs, il résulte de l’expertise effectuée dans le cadre de la procédure civile (P. 119/16) qu’à son arrivée à J.________, U.________ a rapidement abordé les violences subies par son père et la crainte qu’il avait de ce dernier. Il a fait état de gifles, cris, objets cassés et du fait qu’il ne devait pas faire de bruit. Il a également rapporté directement aux</w:t>
      </w:r>
    </w:p>
    <w:p>
      <w:r>
        <w:t>- 38 - expertes des actes de violence tout en déclarant que la situation allait mieux depuis que ses parents étaient séparés. Enfin, force est de constater que ce n’est pas la mère des enfants, qui a dénoncé les violences exercées contre ces derniers, mais le Service de protection de la jeunesse. Dans le cadre de son audition du 12 février 2020, l’intimée a expliqué ne pas avoir évoqué ces faits lors de ses précédentes auditions, par crainte de la réaction de son mari. Elle a mentionné des claques données sur le visage et sur le corps, que le prévenu s’en prenait plus souvent à U.________, le petit K.________ étant son préféré, et qu’à une reprise U.________ avait gardé une marque des doigts sur la joue pendant cinq jours. Au regard de ces éléments, il y a lieu de retenir les violences exercées sur les enfants. La condamnation de B.X.________ pour lésions corporelles simples qualifiées sur U.________ et voies de fait qualifiées sur K.________ doit donc être confirmée, étant au demeurant précisé qu’aucun élément du dossier ne permet de retenir les lésions corporelles sur K.________, comme le Ministère public l’a soutenu en appel, avant de retirer son appel joint sur cette question, la plaignante n’ayant parlé que d’une gifle infligée à U.________ qui aurait laissé des marques.</w:t>
      </w:r>
    </w:p>
    <w:p>
      <w:r>
        <w:rPr>
          <w:b/>
        </w:rPr>
        <w:t>E. 9</w:t>
      </w:r>
    </w:p>
    <w:p>
      <w:r>
        <w:t>L’appelant fait dépendre sa libération de tout paiement aux parties plaignantes de son acquittement des chefs de lésions corporelles simples qualifiées, voies de fait qualifiées et viol, qu’il n’obtient pas. Le montant de 10'000 fr. alloué à C.X.________ à titre d’indemnité pour tort moral est adéquat et doit être confirmé, compte tenu de l’atteinte à la personnalité subie par la victime, comme l’ont retenu à juste titre les premiers juges au considérant 4 du jugement (p. 33) auquel il est renvoyé. Il en va de même des montants de 2'000 fr. et 1'000 fr. alloués respectivement à U.________ et K.________, au vu de la brutalité qu’ils ont personnellement subie et des violences conjugales auxquelles ils ont assisté (ibidem).</w:t>
      </w:r>
    </w:p>
    <w:p>
      <w:r>
        <w:t>- 39 -</w:t>
      </w:r>
    </w:p>
    <w:p>
      <w:r>
        <w:rPr>
          <w:b/>
        </w:rPr>
        <w:t>E. 10.1</w:t>
      </w:r>
    </w:p>
    <w:p>
      <w:r>
        <w:t>L’appelant conteste la peine qui lui a été infligée. Il relève que les conséquences des infractions ont déjà un lourd impact, dès lors qu’il se voit restreindre drastiquement des relations personnelles avec ses enfants, ce qui devrait conduire, si les faits qui lui sont reprochés dans l’acte d’accusation devaient être confirmés, à l’octroi du sursis complet avec, éventuellement, un délai d’épreuve relativement long. Le Ministère public conclut quant à lui au prononcé d’une peine de 4 ans.</w:t>
      </w:r>
    </w:p>
    <w:p>
      <w:r>
        <w:rPr>
          <w:b/>
        </w:rPr>
        <w:t>E. 10.2.1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t>- 40 -</w:t>
      </w:r>
    </w:p>
    <w:p>
      <w:r>
        <w:rPr>
          <w:b/>
        </w:rPr>
        <w:t>E. 10.2.2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p. 245 s.; 144 IV 313 consid. 1.1.1 p. 316).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p. 316).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TF 6B_434/2021 du 7 avril 2022 consid. 3.3).</w:t>
      </w:r>
    </w:p>
    <w:p>
      <w:r>
        <w:rPr>
          <w:b/>
        </w:rPr>
        <w:t>E. 10.3</w:t>
      </w:r>
    </w:p>
    <w:p>
      <w:r>
        <w:t>La Cour de céans considère, avec le tribunal, que la culpabilité de B.X.________ est lourde. Le prénommé s’en est pris à un bien</w:t>
      </w:r>
    </w:p>
    <w:p>
      <w:r>
        <w:t>- 41 - juridiquement protégé de haute valeur, à savoir l’intégrité sexuelle. Alors qu’il n’avait vu l’intimée qu’à trois reprises et toujours en présence de membres de leurs familles (jugt, p. 5), il lui a imposé une relation sexuelle à la première occasion où ils se sont retrouvés seuls dans la maison de ses parents, tandis que la jeune femme était âgée d’à peine 20 ans, inexpérimentée et vierge. Il a usé la menace de ne pas l’épouser pour parvenir à ses fins et s’est montré ainsi sous son vrai jour. Il a agi dans le seul but d’assouvir ses pulsions et d’affirmer sa domination, traitant la victime comme un objet sexuel, alors que celle-ci avait mal, saignait et lui disait d’arrêter. Il n’a fait preuve d’aucune remise en question, persistant à soutenir que la plaignante était entièrement consentante et allant jusqu’à dire – de manière éhontée – que c’était elle qui avait pris l’initiative en lui demandant de l’« essayer » pour voir si elle était vierge (p. 4 supra). Après leur mariage et leur arrivée en Suisse, l’appelant s’est comporté en tyran permanent de son épouse, l’a contrôlée tout au long de leur vie commune, l’a isolée, humiliée, insultée, menacée et battue, continuant d’agir ainsi après la naissance de leurs enfants, parfois devant eux, et s’en est également pris physiquement à ces derniers. Il a essayé de faire porter la responsabilité de leurs disputes sur sa femme. Il a démontré une absence totale d’empathie et une incapacité à prendre conscience de la gravité de ses actes puisqu’il a persévéré dans ses dénégations, n’exprimant aucun remords à l’égard de la victime et de leurs enfants. Sa responsabilité pénale est pleine et entière. Le concours d'infractions doit être retenu comme élément à charge tout comme son absence totale de prise de conscience. Le seul élément à décharge est l’écoulement du temps depuis les faits intervenus en 2012, étant relevé que cela a déjà en partie profité à l’appelant puisque les infractions de lésions corporelles simples et menaces antérieures au 1er janvier 2014, date de l'entrée en vigueur du nouvel l'art. 97 al. 1 let. c CP, sont prescrites dans la mesure où l'ancien délai de prescription de 7 ans s'applique (art. 97 al. 1 let. c aCP ; art. 389 al. 1 CP), le nouveau droit n'étant pas plus favorable au prévenu. Enfin, l’absence de toute inscription au casier judiciaire est un élément neutre dans le cadre de l’appréciation de la culpabilité (ATF 136 IV 1).</w:t>
      </w:r>
    </w:p>
    <w:p>
      <w:r>
        <w:t>- 42 - L’infraction la plus grave est le viol, qui doit être sanctionné par 20 mois. Par l’effet du concours, il y a lieu d’aggraver cette peine de</w:t>
      </w:r>
    </w:p>
    <w:p>
      <w:r>
        <w:rPr>
          <w:b/>
        </w:rPr>
        <w:t>E. 12</w:t>
      </w:r>
    </w:p>
    <w:p>
      <w:r>
        <w:t>mois pour les lésions corporelles qui sont réitérées et 4 mois pour les menaces, soit un total de 36 mois. En définitive, la peine privative de liberté de 3 ans prononcée par les premiers juges correspond à la lourde culpabilité du prévenu et est donc adéquate, de sorte qu’elle doit être confirmée. Cette peine est incompatible avec le sursis complet (art. 42 al. 1 CP). Les premiers juges ont assorti la peine prononcée d’un sursis partiel, dont le prévenu remplit les conditions légales pour les motifs exposés dans le jugement (jugt, p. 32 consid. 3). Les magistrats ont fixé la durée d’épreuve à 4 ans et subordonné le maintien du sursis au respect par l’appelant d’une règle de conduite, ce qui est adéquat. A cette peine privative de liberté s’ajoutent encore une peine pécuniaire pour réprimer l’infraction d’injure et une amende pour sanctionner les infractions de voies de fait et d’insoumission à une décision de l’autorité. Au vu de la situation de l’appelant et des fautes commises, la peine pécuniaire de 20 jours-amende à 30 fr. le jour et le montant de l’amende de 200 fr. retenu par les premiers juges sont justifiés. La conversion de l’amende en une peine privative de liberté de 2 jours en cas de non-paiement fautif est adéquate et peut également être confirmée. 11. En conclusion, l'appel de B.X.________ ainsi que l’appel joint du Ministère public doivent être rejetés et le jugement attaqué intégralement confirmé. Me Gaëtan-Charles Barraud, défenseur d’office de B.X.________, a produit une liste d'opérations faisant état d’une activité de 22,8 heures. On ne tiendra toutefois pas compte du temps (1 heure) consacré à l’analyse du jugement motivé, dès lors que ce poste a déjà été facturé en</w:t>
      </w:r>
    </w:p>
    <w:p>
      <w:r>
        <w:t>- 43 - première instance à titre d’opérations postérieures à l’audience de jugement. En outre, le temps annoncé pour l’étude du dossier, les recherches et la rédaction de la déclaration d’appel, par 10 heures en tout, est excessif, compte tenu de l’acte déposé et de la connaissance du dossier acquise en première instance, et sera réduit à 6 heures. Il en va de même du temps indiqué pour la rédaction de la demande de non-entrée en matière du 3 octobre 2022, par 1,5 heures, qui sera ramené à 0,5 heures, au vu du contenu de l’acte. Enfin, il faut tenir compte de la durée effective de l'audience d'appel, soit 2,25 heures (au lieu des 2 heures estimées). Ainsi, le montant des honoraires s'élève à 3'069 fr. (17,05 x 180), auxquels s'ajoutent des débours forfaitaires de 2 % par 61 fr. 40, une vacation de 120 fr. et la TVA au taux de 7,7 % sur le tout par 250 fr. 30, de sorte que c'est une indemnité totale de 3'500 fr. 70 qui sera allouée à Me Barraud. Me Zakia Arnouni, conseil d'office de la plaignante, a produit une liste d'opérations faisant état d’une activité de 10,35 heures. Il n'y a pas lieu de s'en écarter, sous réserve du temps (3 heures) indiqué pour l’audience d’appel, qui doit être ramené à 2,25 heures. L'indemnité pour la procédure d'appel s'élève ainsi à 1'728 fr. (9,6 x 180), auxquels s'ajoutent des débours forfaitaires de 2 % par 34 fr. 55, une vacation forfaitaire de 120 fr. et la TVA au taux de 7,7 % sur le tout par 144 fr. 95, soit un total de 2'027 fr. 50. Me Vladimir Chautems, conseil d'office d’U.________ et K.________, a produit une liste d'opérations faisant état d’une activité de 5,4 heures, ce qui peut être admis. S’y ajoute le temps de l’audience d’appel, qui n’a pas été comptabilisé. Ainsi, le montant des honoraires s'élève à 1'377 fr. (7,65 x 180), auxquels s'ajoutent des débours forfaitaires de 2 % par 27 fr. 55, une vacation par 120 fr. et la TVA au taux de 7,7 % sur le tout par 117 fr. 40, soit un total de 1'641 fr. 95. Vu l’issue de la cause et compte tenu de l’appel joint du Ministère public, les frais de la procédure d'appel, par 11'280 fr. 15, constitués en l’espèce de l’émolument d’audience et de jugement, par</w:t>
      </w:r>
    </w:p>
    <w:p>
      <w:r>
        <w:t>- 44 - 4'110 fr. (art. 21 al. 1 et 2 TFIP [tarif des frais de procédure et indemnités en matière pénale du 28 septembre 2010; BLV 312.03.1]), ainsi que des indemnités allouées aux défenseur et conseils d'office des parties, seront mis par moitié, soit par 5'640 fr. 05, à la charge de B.X.________ (art. 428 al. 1 CPP), le solde étant laissé à la charge de l’Etat. B.X.________ ne sera tenu de rembourser à l'Etat la moitié des indemnités allouées aux défenseur et conseils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