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PE19.008819 vom 6. Juni 2019</w:t>
      </w:r>
    </w:p>
    <w:p>
      <w:r>
        <w:t>VD Tribunal cantonal, 2019-06-06, FR</w:t>
      </w:r>
    </w:p>
    <w:p>
      <w:r>
        <w:rPr>
          <w:b/>
        </w:rPr>
        <w:t xml:space="preserve">Quelle: </w:t>
      </w:r>
      <w:r>
        <w:t>https://mcp.opencaselaw.ch/entscheid/vd_gerichte_PE19.008819</w:t>
      </w:r>
    </w:p>
    <w:p>
      <w:r>
        <w:t>FR: VD_GERICHTE PE19.008819 du 6 juin 2019</w:t>
      </w:r>
    </w:p>
    <w:p>
      <w:r>
        <w:t>IT: VD_GERICHTE PE19.008819 del 6 giugno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w:t>
      </w:r>
    </w:p>
    <w:p>
      <w:r>
        <w:t>- 4 - let. b CPP) qui est, dans le canton de Vaud, la Chambre des recours pénale du Tribunal cantonal (art. 13 LVCPP [Loi vaudoise d’introduction du Code de procédure pénale suisse du 19 mai 2009; BLV 312.01]; art. 80 LOJV [Loi d’organisation judiciaire du 12 décembre 1979; BLV 173.01]). En l’espèce, le recours a été interjeté en temps utile et dans les formes prescrites auprès de l’autorité compétente, par la partie plaignante qui a qualité pour recourir (art. 382 al. 1 CPP). Les conclusions nos 2 et 3 du recourant sont irrecevables, en tant qu'elles tendent, d'une part, à mettre un terme aux comportements dénoncés par le recourant dans le cadre de sa plainte, et, d'autre part, à la condamnation de tiers et à l'indemnisation du préjudice allégué, la Cour de céans n'étant pas compétente sur ces points. Le recours est recevable pour le surplus.</w:t>
      </w:r>
    </w:p>
    <w:p>
      <w:r>
        <w:rPr>
          <w:b/>
        </w:rPr>
        <w:t>E. 2</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w:t>
      </w:r>
    </w:p>
    <w:p>
      <w:r>
        <w:t>- 5 - apparaît d’emblée qu’aucun acte d’enquête ne pourra apporter la preuve d’une infraction à la charge d’une personne déterminée (TF 1B_67/2012 du 29 mai 2012 consid. 3.2).</w:t>
      </w:r>
    </w:p>
    <w:p>
      <w:r>
        <w:rPr>
          <w:b/>
        </w:rPr>
        <w:t>E. 3.1</w:t>
      </w:r>
    </w:p>
    <w:p>
      <w:r>
        <w:t>Le recourant, qui se déclare victime d'une «conspiration criminelle», reproche au Ministère public d’avoir écarté à tort les infractions dénoncées dans sa plainte, entre autres celles de diffamation et de calomnie.</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Les parties à un procès ou l’avocat qui se limitent à ce qui</w:t>
      </w:r>
    </w:p>
    <w:p>
      <w:r>
        <w:t>- 6 -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 op. cit., n. 52 ad art. 173 CP; Favre/Pellet/Stoudmann, Code pénal annoté, 3e éd., Lausanne 2007/2011, n. 1.11 ad art. 14 CP).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consid. II.3.3; CREP 12 février 2015/115 consid. 3.2.2).</w:t>
      </w:r>
    </w:p>
    <w:p>
      <w:r>
        <w:rPr>
          <w:b/>
        </w:rPr>
        <w:t>E. 3.3</w:t>
      </w:r>
    </w:p>
    <w:p>
      <w:r>
        <w:t>Dans le cas particulier, le Ministère public a souligné que le litige qui opposait les parties concernait le bail à loyer du studio occupé par le recourant et résilié par la partie bailleresse, dont le Tribunal des baux a validé la résiliation par jugement du 12 avril 2019. Ce litige apparaissant aux yeux du Procureur de nature purement civile, c'était ainsi dans le cadre de la procédure d’appel contre le jugement précité, pendante auprès de la Cour d’appel civile, que le plaignant devait agir, non par le biais d’une procédure pénale. La Cour de céans partage cette appréciation, le recourant ne fournissant aucune argumentation susceptible de s'en écarter. Il y a lieu également d'observer, à l'instar du Ministère public, que le recourant n'indique pas non plus en quoi les affirmations litigieuses de la partie bailleresse seraient fausses, ou devraient être considérées comme attentatoires à l’honneur. Enfin, l'intéressé ne rend nullement vraisemblable l'existence d'une «conspiration criminelle» selon ses propres termes, dont on relève qu'ils n'indiquent pas quelles seraient les normes pénales en jeu, pas plus qu'il ne rend vraisemblable la commission d'une quelconque infraction à son encontre dans le contexte du litige civil l'opposant à la partie bailleresse. Dès lors, c’est à bon droit que le Procureur a rendu une ordonnance de non-entrée en matière.</w:t>
      </w:r>
    </w:p>
    <w:p>
      <w:r>
        <w:t>- 7 -</w:t>
      </w:r>
    </w:p>
    <w:p>
      <w:r>
        <w:rPr>
          <w:b/>
        </w:rPr>
        <w:t>E. 4</w:t>
      </w:r>
    </w:p>
    <w:p>
      <w:r>
        <w:t>Il résulte de ce qui précède que le recours, manifestement mal fondé, doit être rejeté dans la mesure de sa recevabilité, sans échange d'écritures (art. 390 al. 2 CPP), et l’ordonnance entreprise confirmée. Les frais de la procédure de recours, par 660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10 mai 2019 est confirmée. III. Les frais d’arrêt, par 660 fr. (six cent soixante francs), sont mis à la charge de X.________ IV. L’arrêt est exécutoire. Le président : Le greffier : Du Le présent arrêt, dont la rédaction a été approuvée à huis clos, est notifié, par l'envoi d'une copie complète, à : - M. X.________,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