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PE19.008693 vom 30. Dezember 2021</w:t>
      </w:r>
    </w:p>
    <w:p>
      <w:r>
        <w:t>VD Tribunal cantonal, 2021-12-30, FR</w:t>
      </w:r>
    </w:p>
    <w:p>
      <w:r>
        <w:rPr>
          <w:b/>
        </w:rPr>
        <w:t xml:space="preserve">Quelle: </w:t>
      </w:r>
      <w:r>
        <w:t>https://mcp.opencaselaw.ch/entscheid/vd_gerichte_PE19.008693</w:t>
      </w:r>
    </w:p>
    <w:p>
      <w:r>
        <w:t>FR: VD_GERICHTE PE19.008693 du 30 décembre 2021</w:t>
      </w:r>
    </w:p>
    <w:p>
      <w:r>
        <w:t>IT: VD_GERICHTE PE19.008693 del 30 dicembre 2021</w:t>
      </w:r>
    </w:p>
    <w:p>
      <w:pPr>
        <w:pStyle w:val="Heading2"/>
      </w:pPr>
      <w:r>
        <w:t>Erwägungen</w:t>
      </w:r>
    </w:p>
    <w:p>
      <w:r>
        <w:rPr>
          <w:b/>
        </w:rPr>
        <w:t>E. 2</w:t>
      </w:r>
    </w:p>
    <w:p>
      <w:r>
        <w:t>A l’appui de leur demande de révision, W.________ et B.________ se prévalent de l’acquittement de P.________ de l’infraction de rixe prononcé par jugement du Tribunal de police du 17 septembre 2021. Or, on ne voit pas en quoi, dans une rixe, l’acquittement d’un des prévenus serait un moyen de preuve nouveau pour les autres. D’ailleurs, faute de disposer du jugement motivé qui a été rendu dans le cas de P.________, on ignore les motifs qui ont conduit à l’acquittement de ce dernier. Pour le surplus, la demande de révision n’est pas suffisamment motivée et ne comporte pas de conclusions.</w:t>
      </w:r>
    </w:p>
    <w:p>
      <w:r>
        <w:rPr>
          <w:b/>
        </w:rPr>
        <w:t>E. 3</w:t>
      </w:r>
    </w:p>
    <w:p>
      <w:r>
        <w:t>Il s’ensuit que la demande de révision présentée par W.________ et B.________ doit être déclarée irrecevable, sans échange d’écritures (art. 412 al. 2 CPP). Les frais de la procédure de révision, par 770 fr. (art. 21 al. 1 et 22 TFIP [tarif des frais de procédure et indemnités en matière pénale du 28 septembre 2010 ; BLV 312.03.1]), seront mis par moitié chacun (art. 418 al. 1 CPP), soit par 385 fr. à la charge de W.________ et par 385 fr. à la charge de B.________, qui succombent (art. 428 al. 1, 2e phrase, CPP).</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