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PE19.008653 vom 30. Juli 2019</w:t>
      </w:r>
    </w:p>
    <w:p>
      <w:r>
        <w:t>VD Tribunal cantonal, 2019-07-30, FR</w:t>
      </w:r>
    </w:p>
    <w:p>
      <w:r>
        <w:rPr>
          <w:b/>
        </w:rPr>
        <w:t xml:space="preserve">Quelle: </w:t>
      </w:r>
      <w:r>
        <w:t>https://mcp.opencaselaw.ch/entscheid/vd_gerichte_PE19.008653</w:t>
      </w:r>
    </w:p>
    <w:p>
      <w:r>
        <w:t>FR: VD_GERICHTE PE19.008653 du 30 juillet 2019</w:t>
      </w:r>
    </w:p>
    <w:p>
      <w:r>
        <w:t>IT: VD_GERICHTE PE19.008653 del 30 luglio 2019</w:t>
      </w:r>
    </w:p>
    <w:p>
      <w:pPr>
        <w:pStyle w:val="Heading2"/>
      </w:pPr>
      <w:r>
        <w:t>Erwägungen</w:t>
      </w:r>
    </w:p>
    <w:p>
      <w:r>
        <w:rPr>
          <w:b/>
        </w:rPr>
        <w:t>E. 1</w:t>
      </w:r>
    </w:p>
    <w:p>
      <w:r>
        <w:t>CPP) et dans les formes prescrites (art. 385 CPP), le recours est recevable.</w:t>
      </w:r>
    </w:p>
    <w:p>
      <w:r>
        <w:rPr>
          <w:b/>
        </w:rPr>
        <w:t>E. 2.1</w:t>
      </w:r>
    </w:p>
    <w:p>
      <w:r>
        <w:t>La recourante reproche au Ministère public d’avoir ignoré que sa chute avait, selon elle, pour seule origine une violation, par la veilleuse, de « la procédure » mise en place en cas de transfert d’un patient de son lit vers le déambulateur. Qui plus est, le Procureur n’aurait pas tenu compte du fait que l’infirmière en question n’avait pas rapporté l’incident dans son rapport de transmission à la fin de son service, alors même qu’elle avait l’obligation de noter tout événement particulier survenu durant les heures de veille. La fracture provenant de la chute serait donc en relation de causalité avec la négligence de la veilleuse, tenue pour « significative ».</w:t>
      </w:r>
    </w:p>
    <w:p>
      <w:r>
        <w:rPr>
          <w:b/>
        </w:rPr>
        <w:t>E. 2.2.1</w:t>
      </w:r>
    </w:p>
    <w:p>
      <w:r>
        <w:t>Conformément à l'art. 310 al. 1 let. a CPP, le Procureur rend immédiatement – c'est-à-dire sans qu'une instruction soit ouverte (art. 309 al. 1 et 4 CPP; TF 1B_111/2012 du 5 avril 2012 consid. 2.1; Cornu, in : Kuhn/Jeanneret [éd.], Commentaire romand, Code de procédure pénale suisse, Bâle 2011, n. 2 ad art. 310 CPP) – une ordonnance de non-entrée en matière lorsqu'il apparaît, à réception de la dénonciation (cf. art. 301 et</w:t>
      </w:r>
    </w:p>
    <w:p>
      <w:r>
        <w:t>- 4 - 302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2.2.2</w:t>
      </w:r>
    </w:p>
    <w:p>
      <w:r>
        <w:t>Selon l’art. 125 CP (Code pénal suisse du 21 décembre 1937;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Agit par négligence au sens de l’art. 125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- 5 -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p. 64; 134 IV 255 consid. 4.2.3 p. 262).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2.3</w:t>
      </w:r>
    </w:p>
    <w:p>
      <w:r>
        <w:t>En l’espèce, force est de constater que certains points doivent être éclaircis à la suite de la plainte de la recourante, au regard notamment d’une éventuelle violation de son devoir de diligence par au moins l’un des membres du personnel soignant de l’hôpital (cf. ATF 137 IV 285 précité, qui concerne également l’établissement des faits sous l’angle du devoir de diligence en cas de lésions corporelles). Il faut d’abord déterminer si une procédure de transfert de la patiente de son lit à la chaise percée avait effectivement, comme l’allègue</w:t>
      </w:r>
    </w:p>
    <w:p>
      <w:r>
        <w:t>- 6 - la plaignante, été instituée dans l’établissement hospitalier. Dans l’affirmative, il y aura lieu d’établir si cette procédure était connue de l’infirmière en service de veille lors des faits dénoncés. Il convient ensuite de déterminer si la veilleuse était tenue de signaler tout incident de ce genre et si elle l’a fait. Dans l’affirmative, il est nécessaire de connaître l’issue de cette démarche. De même, on ne saurait ignorer les éventuelles constatations des autres membres du personnel de l’hôpital relatives aux faits de la cause. Enfin, un avis médical devra être recueilli quant à savoir si la fracture de la tête fémorale diagnostiquée le 17 mars 2019 est en rapport de causalité naturelle avec la chute survenue la nuit précédente, respectivement si la lésion pouvait d’emblée être constatée par le personnel soignant. Il s’agira d’établir l’ensemble des faits susceptibles d’être déterminants en droit, dont les points mentionnés ci-dessus ne constituent dès lors nullement un énoncé exhaustif.</w:t>
      </w:r>
    </w:p>
    <w:p>
      <w:r>
        <w:rPr>
          <w:b/>
        </w:rPr>
        <w:t>E. 2.4</w:t>
      </w:r>
    </w:p>
    <w:p>
      <w:r>
        <w:t>Ainsi, c’est à tort que le Ministère public a rendu une ordonnance de non-entrée en matière. En l’occurrence, il y a lieu d’ouvrir une instruction pénale et de procéder à toutes les mesures d’investigation utiles dans le sens du considérant qui précède.</w:t>
      </w:r>
    </w:p>
    <w:p>
      <w:r>
        <w:rPr>
          <w:b/>
        </w:rPr>
        <w:t>E. 3</w:t>
      </w:r>
    </w:p>
    <w:p>
      <w:r>
        <w:t>Il résulte de ce qui précède que le recours doit être admis, l’ordonnance entreprise annulée et le dossier de la cause renvoyé au Ministère public pour qu’il entre en matière sur la plainte de la recourante et ouvre une instruction. Les frais de la procédure de recours, constitués en l’espèce du seul émolument d’arrêt (art. 422 al. 1 CPP), par 880 fr. (art. 20 al. 1 TFIP [Tarif des frais de procédure et indemnités en matière pénale du 28 septembre 2010; BLV 312.03.1]), seront laissés à la charge de l’Etat (art. 428 al. 4 CPP). Le montant de 550 fr. versé par la recourante à titre de sûretés lui sera restitué (art. 7 TFIP).</w:t>
      </w:r>
    </w:p>
    <w:p>
      <w:r>
        <w:t>- 7 - Par ces motifs, la Chambre des recours pénale prononce : I. Le recours est admis. II. L’ordonnance du 3 mai 2019 est annulée. III. Le dossier de la cause est renvoyé au Ministère public de l’arrondissement du Nord vaudois pour instruction. IV. Les frais d’arrêt, par 660 fr. (six cent soixante francs), sont laissés à la charge de l’Etat. V. Le montant de 550 fr. (cinq cent cinquante francs) versé par G.________ à titre de sûretés lui est restitué. VI. L’arrêt est exécutoire. Le président : Le greffier : Du Le présent arrêt, dont la rédaction a été approuvée à huis clos, est notifié, par l'envoi d'une copie complète, à : - Mme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