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PE19.008486 vom 13. September 2024</w:t>
      </w:r>
    </w:p>
    <w:p>
      <w:r>
        <w:t>VD Tribunal cantonal, 2024-09-13, FR</w:t>
      </w:r>
    </w:p>
    <w:p>
      <w:r>
        <w:rPr>
          <w:b/>
        </w:rPr>
        <w:t xml:space="preserve">Quelle: </w:t>
      </w:r>
      <w:r>
        <w:t>https://mcp.opencaselaw.ch/entscheid/vd_gerichte_PE19.008486</w:t>
      </w:r>
    </w:p>
    <w:p>
      <w:r>
        <w:t>FR: VD_GERICHTE PE19.008486 du 13 septembre 2024</w:t>
      </w:r>
    </w:p>
    <w:p>
      <w:r>
        <w:t>IT: VD_GERICHTE PE19.008486 del 13 settembre 2024</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BLV 312.01] ; art. 80 LOJV [loi d’organisation judiciaire du 12 décembre 1979 ; BLV 173.01]).</w:t>
      </w:r>
    </w:p>
    <w:p>
      <w:r>
        <w:t>- 5 -</w:t>
      </w:r>
    </w:p>
    <w:p>
      <w:r>
        <w:rPr>
          <w:b/>
        </w:rPr>
        <w:t>E. 1.2</w:t>
      </w:r>
    </w:p>
    <w:p>
      <w:r>
        <w:t>Interjeté dans le délai légal, auprès de l’autorité compétente, par les prévenus qui ont la qualité pour recourir (art. 382 al. 1 CPP), et dans les formes prescrites (art. 385 al. 1 CPP), le recours déposé par P.P.________ et J.________ est recevable.</w:t>
      </w:r>
    </w:p>
    <w:p>
      <w:r>
        <w:rPr>
          <w:b/>
        </w:rPr>
        <w:t>E. 2.1</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rPr>
          <w:b/>
        </w:rPr>
        <w:t>E. 2.2</w:t>
      </w:r>
    </w:p>
    <w:p>
      <w:r>
        <w:t>Les recourants n’ont pas chiffré leurs conclusions. En première instance, ils avaient toutefois conclu à des indemnités de 2'678 fr. 05 à titre de frais d’avocat et de 5'000 fr. chacun à titre de dépens, sans toutefois que l’on comprenne la distinction. Quoi qu’il en soit, le montant litigieux est supérieur à 5'000 fr., de sorte que l’autorité collégiale est compétente.</w:t>
      </w:r>
    </w:p>
    <w:p>
      <w:r>
        <w:rPr>
          <w:b/>
        </w:rPr>
        <w:t>E. 3.1</w:t>
      </w:r>
    </w:p>
    <w:p>
      <w:r>
        <w:t>Les recourants soutiennent en substance qu’ils devaient pouvoir être assistés par un avocat conformément au principe de l’égalité des armes puisque la plaignante l’était et que la cause présentait des difficultés évidentes. Ils relèvent aussi que la procédure a duré plus de cinq ans.</w:t>
      </w:r>
    </w:p>
    <w:p>
      <w:r>
        <w:rPr>
          <w:b/>
        </w:rPr>
        <w:t>E. 3.2</w:t>
      </w:r>
    </w:p>
    <w:p>
      <w:r>
        <w:t>Aux termes de l’art. 429 al. 1 let. a CPP, dans sa teneur au 31 décembre 2023 (cf. art. 453 al. 1 CPP), si le prévenu est acquitté totalement ou en partie ou s’il bénéficie d’une ordonnance de classement, il a droit à une indemnité pour les dépenses occasionnées par l’exercice raisonnable de ses droits de procédure.</w:t>
      </w:r>
    </w:p>
    <w:p>
      <w:r>
        <w:t>- 6 - Un prévenu mis hors de cause a en principe droit à une indemnité au sens de l’art. 429 al. 1 let. a CPP dès l’instant où les frais sont laissés à la charge de l’Etat (ATF 144 IV 207 consid. 1.8.2 ; TF 6B_132/2022 du 3 mars 2023 consid. 2.1). L’indemnité selon l’art. 429 al. 1 let. a CPP concerne les dépenses du prévenu pour un avocat de choix (ATF 139 IV 241 consid. 1 ; ATF 138 IV 205 consid. 1 ; TF 6B_197/2022 du 25 mai 2022 consid. 2.2). L’allocation d’une telle indemnité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6B_591/2022 du 4 mai 2023 consid. 4.1.1).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ainsi pas partir du principe qu’en matière de contravention, le prévenu doit supporter en général seul ses frais de défense (ATF 142 IV 45 précité consid. 2.1 ; ATF 138 IV 197 consid. 2.3.5, JdT 2013 IV 184 ; JdT 2016 III 178).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précité consid. 2.3.5 ; TF 6B_1381/2021 du 7 septembre 2022 consid. 3.3.1). Selon la jurisprudence constante, pour une affaire de difficulté moyenne, l’indemnisation est fixée au tarif horaire de 300 fr. pour un</w:t>
      </w:r>
    </w:p>
    <w:p>
      <w:r>
        <w:t>- 7 - avocat (CREP 29 décembre 2023/1064 consid. 2.2.2 ; CAPE 25 avril 2022/171 ; CAPE 12 décembre 2019/428 ; CAPE 21 novembre 2018/384).</w:t>
      </w:r>
    </w:p>
    <w:p>
      <w:r>
        <w:rPr>
          <w:b/>
        </w:rPr>
        <w:t>E. 3.3</w:t>
      </w:r>
    </w:p>
    <w:p>
      <w:r>
        <w:t>En l’espèce, les recourants ont bénéficié d’un classement et les frais relatifs à cette décision ont été laissés à la charge de l’Etat. Une indemnité était dès lors en principe due aux recourants en application de l'art. 429 al. 1 let. a CPP si l’assistance d’un avocat devait être considérée comme raisonnable. A cet égard, la Chambre de céans relève que la cause ne présentait pas réellement de complexité et que les recourants confondent dans leur acte les opérations rendues nécessaires dans le cadre de la procédure qui a abouti au jugement de la Cour d’appel pénale du 25 août 2022 et celles de la présente cause. Il n’empêche que les deux dossiers sont imbriqués, que la plaignante était assistée d’un avocat, notamment lors de l’audition de confrontation, et que l’infraction de dénonciation calomnieuse, qui constitue un délit, n’est pas simple à appréhender en soi. La procédure a en outre été longue et s’inscrit dans le cadre d’un litige global entre les parties. Compte tenu de ces éléments, il ne peut être retenu que la cause était simple et exclure, sur le principe, toute indemnisation. Au vu de ce qui précède, le recours à un avocat s’avérait raisonnable et justifié. C’est donc à tort que le Ministère public a refusé aux recourants, prévenus bénéficiant d’un classement avec frais à la charge de l’Etat, toute indemnité au sens de l’art. 429 CPP. Afin de garantir le principe de la double instance, il convient que le Ministère public fixe le montant de l’indemnité à allouer (TF 6B_1251/2016 du 19 juillet 2017 consid. 3.3 ; CREP 1er mars 2024/174 ; CREP 29 décembre 2023/945).</w:t>
      </w:r>
    </w:p>
    <w:p>
      <w:r>
        <w:rPr>
          <w:b/>
        </w:rPr>
        <w:t>E. 4.1</w:t>
      </w:r>
    </w:p>
    <w:p>
      <w:r>
        <w:t>En définitive, le recours doit être admis et les chiffres III et IV du dispositif de l’ordonnance entreprise annulés, l’ordonnance, non contestée par ailleurs, étant maintenue pour le surplus. Le dossier de la</w:t>
      </w:r>
    </w:p>
    <w:p>
      <w:r>
        <w:t>- 8 - cause sera renvoyé au Ministère public pour qu’il complète le dispositif de l’ordonnance attaquée en statuant sur les prétentions fondées sur l’art. 429 CPP.</w:t>
      </w:r>
    </w:p>
    <w:p>
      <w:r>
        <w:rPr>
          <w:b/>
        </w:rPr>
        <w:t>E. 4.2</w:t>
      </w:r>
    </w:p>
    <w:p>
      <w:r>
        <w:t>Vu l’issue du recours, les frais de la procédure seront laissés à la charge de l’Etat (art. 423 al. 1 CPP). Par ces motifs, la Chambre des recours pénale prononce : I. Le recours est admis. II. Les chiffres III et IV du dispositif de l’ordonnance du 4 juillet 2024 sont annulés, l’ordonnance étant maintenue pour le surplus. III. Le dossier de la cause est renvoyé au Ministère public de l’arrondissement de l’Est vaudois pour qu’il procède dans le sens des considérants. IV. Les frais d’arrêt, par 770 fr. (sept cent septante francs), sont laissés à la charge de l’Etat. V. L’arrêt est exécutoire. Le président : La greffière : Du Le présent arrêt, dont la rédaction a été approuvée à huis clos, est notifié, par l'envoi d'une copie complète, à : - P.P.________, - J.________, - Ministère public central,</w:t>
      </w:r>
    </w:p>
    <w:p>
      <w:r>
        <w:t>- 9 - et communiqué à : - Madame la Procureure de l’arrondissement de l’Est vaudois, - Me Lorraine Ruf, avocate (pour G.P.________)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