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PE19.007386 vom 4. März 2022</w:t>
      </w:r>
    </w:p>
    <w:p>
      <w:r>
        <w:t>VD Tribunal cantonal, 2022-03-04, FR</w:t>
      </w:r>
    </w:p>
    <w:p>
      <w:r>
        <w:rPr>
          <w:b/>
        </w:rPr>
        <w:t xml:space="preserve">Quelle: </w:t>
      </w:r>
      <w:r>
        <w:t>https://mcp.opencaselaw.ch/entscheid/vd_gerichte_PE19.007386</w:t>
      </w:r>
    </w:p>
    <w:p>
      <w:r>
        <w:t>FR: VD_GERICHTE PE19.007386 du 4 mars 2022</w:t>
      </w:r>
    </w:p>
    <w:p>
      <w:r>
        <w:t>IT: VD_GERICHTE PE19.007386 del 4 marzo 2022</w:t>
      </w:r>
    </w:p>
    <w:p>
      <w:pPr>
        <w:pStyle w:val="Heading2"/>
      </w:pPr>
      <w:r>
        <w:t>Erwägungen</w:t>
      </w:r>
    </w:p>
    <w:p>
      <w:r>
        <w:rPr>
          <w:b/>
        </w:rPr>
        <w:t>E. 4.1</w:t>
      </w:r>
    </w:p>
    <w:p>
      <w:r>
        <w:t>L’appelante conteste que les faits en question soient constitutifs de lésions corporelles simples et de violation du devoir d’assistance ou d’éducation. Elle fait valoir que l’acte consistant à simplement pousser quelqu’un ne saurait être constitutif de lésions corporelles simples (CAPE 4 décembre 2018/446), que la plaignante n’avait pas ressenti de douleur particulière et que rien ne permettait de retenir que des violences avaient été répétées. Selon l’appelante, il ne s’agissait bien plutôt que de voies de fait, infraction qu’elle tient pour prescrite. Pour ce qui est de la violation du devoir d’assistance ou d’éducation, les conséquences psychiques des événements vécus par celle-ci sur le développement de la plaignante ne seraient pas étayées (P. 79/2), dès lors que la jeune fille était très autonome et se portait bien, comme l’avait déclaré son assistante sociale. Par ailleurs, toujours selon l’appelante, le fait qu’elle-même n’ait pas collaboré avec la DGEJ ne serait pas suffisant pour retenir une infraction à l’art. 219 CP.</w:t>
      </w:r>
    </w:p>
    <w:p>
      <w:r>
        <w:rPr>
          <w:b/>
        </w:rPr>
        <w:t>E. 4.2.1</w:t>
      </w:r>
    </w:p>
    <w:p>
      <w:r>
        <w:t>Aux termes de l’art. 123 ch. 1 CP, celui qui, intentionnellement, aura fait subir à une personne une autre atteinte à l’intégrité corporelle ou à la santé sera, sur plainte, puni d’une peine</w:t>
      </w:r>
    </w:p>
    <w:p>
      <w:r>
        <w:t>- 22 -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w:t>
      </w:r>
    </w:p>
    <w:p>
      <w:r>
        <w:t>- 23 -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rPr>
          <w:b/>
        </w:rPr>
        <w:t>E. 4.2.2</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 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w:t>
      </w:r>
    </w:p>
    <w:p>
      <w:r>
        <w:t>- 24 -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t>- 25 -</w:t>
      </w:r>
    </w:p>
    <w:p>
      <w:r>
        <w:rPr>
          <w:b/>
        </w:rPr>
        <w:t>E. 4.2.3</w:t>
      </w:r>
    </w:p>
    <w:p>
      <w:r>
        <w:t>Le Tribunal fédéral a déjà eu l’occasion de préciser que les lésions corporelles infligées à un enfant (art. 123 ch. 2 al. 2 CP [cf. supra consid. 4.2.2]) pouvaient entrer en concours avec l’art. 219 CP. Il a en effet considéré que les biens juridiquement protégés par ces deux dispositions, soit l’intégrité physique et mentale, d’une part, et le développement physique ou psychique, d’autre part, étaient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 cf. aussi CAPE 5 mars 2020/44 consid. 9.2).</w:t>
      </w:r>
    </w:p>
    <w:p>
      <w:r>
        <w:rPr>
          <w:b/>
        </w:rPr>
        <w:t>E. 4.3</w:t>
      </w:r>
    </w:p>
    <w:p>
      <w:r>
        <w:t>En l’espèce, l’appelante conteste la qualification juridique de lésions corporelles simples qualifiées. Elle fait valoir qu’il n’y aurait eu qu’une bousculade, constitutive de voies de fait. Or les atteintes subies et constatées médicalement n’ont rien de bénin. Sur les plans psychiques et somatiques, elles sont manifestement durables. En effet, d’une part, les lésions ont été constatées plusieurs jours après les faits en dépit du temps écoulé depuis lors et, d’autre part, la plaignante a relevé, aux débats de première instance encore, qu’elle présentait des crises d’angoisse (cf. jugement p. 19, 3e par.). Partant, ces éléments matériels ne peuvent que conduire à retenir l’infraction de lésions corporelles simples qualifiées à l’exclusion de celle de voies de fait. L’infraction de violation du devoir d’assistance ou d’éducation doit être retenue en concours avec celle de lésions corporelles simples qualifiées. En effet, l’atteinte au développement de l’enfant est le résultat non seulement des gestes de violence mais aussi des propos dénigrants récurrents de l’appelante, qui n’a eu de cesse de maltraiter verbalement sa fille. Peu importe que la plaignante ait de bons résultats scolaires et que son parcours de formation professionnelle se déroule comme prévu, dès lors que cela n’exclut pas une réelle souffrance. D’ailleurs, l’art. 219 CP réprime la mise en danger du développement, non l’atteinte en elle-</w:t>
      </w:r>
    </w:p>
    <w:p>
      <w:r>
        <w:t>- 26 - même, ce qui commande de retenir le concours d’infractions plutôt que l’absorption d’une infraction par l’autre.</w:t>
      </w:r>
    </w:p>
    <w:p>
      <w:r>
        <w:rPr>
          <w:b/>
        </w:rPr>
        <w:t>E. 5.1</w:t>
      </w:r>
    </w:p>
    <w:p>
      <w:r>
        <w:t>Contestant la quotité de la peine, l’appelante fait valoir que le Tribunal de police n’a retenu aucun élément à décharge et a infligé une peine globalement démesurée. Elle soutient en outre que la révocation du sursis qui lui avait été accordé par jugement du 16 janvier 2018 par le Tribunal de police de l’Est vaudois était également excessive et devrait tomber en cas d’acquittement.</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- 27 -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w:t>
      </w:r>
    </w:p>
    <w:p>
      <w:r>
        <w:t>- 28 - consid. 1.3 ; ATF 142 IV 265 précité et les références citées ; TF 6B_144/2019 du 17 mai 2019 consid. 4.3.1).</w:t>
      </w:r>
    </w:p>
    <w:p>
      <w:r>
        <w:rPr>
          <w:b/>
        </w:rPr>
        <w:t>E. 5.3.1</w:t>
      </w:r>
    </w:p>
    <w:p>
      <w:r>
        <w:t>L'art. 46 al. 1 CP prévoit que si, durant le délai d'épreuve, le condamné commet un crime ou un délit et qu'il y a dès lors lieu de prévoir qu'il commettra de nouvelles infractions, le juge révoque le sursis ou le sursis partiel.</w:t>
      </w:r>
    </w:p>
    <w:p>
      <w:r>
        <w:rPr>
          <w:b/>
        </w:rPr>
        <w:t>E. 5.3.2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5.3.3</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 TF 6B_1192/2019 du 28 février 2020 consid. 2.1 ; TF 6B_529/2019 du 5 juin 2019 consid. 3.1</w:t>
      </w:r>
    </w:p>
    <w:p>
      <w:r>
        <w:t>- 29 - ; TF 6B_1339/2016 du 23 mars 2017 consid. 1.1.2 ; TF 6B_1227/2015 du 29 juillet 2016 consid. 1.2.1).</w:t>
      </w:r>
    </w:p>
    <w:p>
      <w:r>
        <w:rPr>
          <w:b/>
        </w:rPr>
        <w:t>E. 5.4.1</w:t>
      </w:r>
    </w:p>
    <w:p>
      <w:r>
        <w:t>La culpabilité de l’appelante est lourde. La prévenue conteste même les faits qui sont établis par des preuves matérielles, comme les messages SMS ou les constats médicaux. Ce vain déni dénote une absence de prise de conscience. Qui plus est, elle adopte un comportement de rejet envers sa fille et ne se remet pas en question. Ainsi, elle a des antécédents de violence mais sa condamnation n’a conduit à aucun amendement, ce que révèlent ses propos tenus à l’audience d’appel encore. Même lorsque sa fille n’était plus à la maison, elle a réussi à lui refuser l’essentiel, s’agissant par exemple d’habits et de loisirs, son enfant s’étant transformée en souffre-douleur. Elle n’a ainsi fait aucun effort pour créer un lien mère-fille. Enfin, elle a un antécédent. A sa décharge, comme le relève le Tribunal de police, la prévenue a été élevée par une mère violente, qui la frappait, de sorte que l’on peut, au bénéfice du doute, admettre qu’elle a tendance à reproduire au détriment de sa fille le comportement dont elle a elle-même été la victime. On ne discerne pas d’autre élément à décharge, s’agissant en particulier du fait qu’elle a donné satisfaction dans son dernier emploi (P. 163).</w:t>
      </w:r>
    </w:p>
    <w:p>
      <w:r>
        <w:rPr>
          <w:b/>
        </w:rPr>
        <w:t>E. 5.4.2</w:t>
      </w:r>
    </w:p>
    <w:p>
      <w:r>
        <w:t>L’appelante a déjà été reconnue coupable de lésions corporelles qualifiées et de détérioration de données (contre un ex- compagnon). Pour ces infractions, elle a, comme déjà été relevé, été condamnée à une peine pécuniaire de 30 jours-amende à 30 fr. le jour- amende, avec sursis pendant deux ans (CAPE 5 juin 2018/189, déjà cité, étant rappelé que le recours au Tribunal fédéral a été interjeté par la partie adverse et portait sur les accessoires de l’action pénale). Ici, les agissements coupables ont débuté en novembre 2017, pour s’achever le 8 mars 2020. L’appelante a ainsi récidivé pendant le délai d’épreuve, à tout le moins en ce qui concerne la violation du devoir d’assistance et d’éducation, ce qui implique la révocation du sursis accordé par le jugement de la Cour de céans du 5 juin 2018. En revanche,</w:t>
      </w:r>
    </w:p>
    <w:p>
      <w:r>
        <w:t>- 30 - il n’y a pas lieu de prononcer une peine complémentaire. Il suffit bien plutôt d’ordonner l’exécution de la peine pécuniaire de 30 jours-amende à 30 fr. le jour prononcée par le jugement du 5 juin 2018.</w:t>
      </w:r>
    </w:p>
    <w:p>
      <w:r>
        <w:rPr>
          <w:b/>
        </w:rPr>
        <w:t>E. 5.4.3</w:t>
      </w:r>
    </w:p>
    <w:p>
      <w:r>
        <w:t>Une peine privative de liberté s’impose au vu des faibles perspectives d’amendement de l’auteur, ce dont témoignent la durée et la récurrence des agissements coupables, ainsi que l’absence de prise de conscience de la prévenue, manifestée à l’audience d’appel encore. L’infraction principale est celle de lésions corporelles simples qualifiées, qui justifie une peine privative de liberté de huit mois. Par l’effet du concours, cette quotité doit être augmentée de trois mois pour réprimer la violation du devoir d’assistance et d’éducation. La peine privative de liberté d’ensemble doit ainsi être fixée à onze mois, comme en a statué le Tribunal de police.</w:t>
      </w:r>
    </w:p>
    <w:p>
      <w:r>
        <w:rPr>
          <w:b/>
        </w:rPr>
        <w:t>E. 5.4.4</w:t>
      </w:r>
    </w:p>
    <w:p>
      <w:r>
        <w:t>Le sursis doit être accordé à la nouvelle peine, la révocation du sursis antérieur devant permettre une prise de conscience suffisante pour détourner l’auteur d’autres crimes ou délits. Le délai d’épreuve devra cependant être fixé au maximum légal, soit à cinq ans, de telle sorte qu’il exerce sur la condamnée une pression suffisante pour qu'elle renonce à commettre de nouvelles infractions en prenant conscience de la gravité de ses actes.</w:t>
      </w:r>
    </w:p>
    <w:p>
      <w:r>
        <w:rPr>
          <w:b/>
        </w:rPr>
        <w:t>E. 6</w:t>
      </w:r>
    </w:p>
    <w:p>
      <w:r>
        <w:t>L’appelante fait enfin valoir que les conclusions civiles de la partie plaignante doivent être rejetées dès lors qu’elle est acquittée. Elle ne soulève cependant pas de moyen autonome, s’agissant des conclusions civiles. Cette conclusion présupposant l’admission de celle portant sur le sort de l’action pénale, le rejet de la seconde suffit dès lors à sceller le sort de la première.</w:t>
      </w:r>
    </w:p>
    <w:p>
      <w:r>
        <w:rPr>
          <w:b/>
        </w:rPr>
        <w:t>E. 7</w:t>
      </w:r>
    </w:p>
    <w:p>
      <w:r>
        <w:t>Vu l’issue de l’appel, les frais d’appel (art. 21 al. 1 et 2 TFIP) seront mis à la charge de l’appelante, qui succombe intégralement (art. 428 al. 1, 1re phrase, CPP).</w:t>
      </w:r>
    </w:p>
    <w:p>
      <w:r>
        <w:t>- 31 - Outre l’émolument, par 3'340 fr., les frais d’appel comprennent l’indemnité en faveur du défenseur d’office de l’appelante et celle en faveur du conseil d'office de l’intimée (art. 422 al. 1 et al. 2 let. a CPP). L’indemnité en faveur de Me Samuel Pahud doit être arrêtée sur la base d’une durée d’activité d’avocat de 10,20 heures. En effet, de la durée totale de travail d’avocat de 17,75 heures figurant sur la liste d’opérations (P. 162) doivent être déduits divers postes, soit 2,25 heures, 0,60 heures, cinq fois 0,05 heure, 1,65 heure (1,65 heure équivalant à 3,65 heures sous déduction de 2 heures ; cf. ci-dessous), 2 heures, deux fois 0,40 heure (0,40 heure équivalant à 1,50 heure sous déduction de 1,10 heure, vu la durée effective de l’audience d’appel), ce qui équivaut à des déductions totales de 7,55 heures. En effet, les postes « Corr + compl. Projet appel » (2,25 heures) et « Ultime relecture + corr. + prép. pr mise sous pli » (0,60 heure) apparaissent entièrement redondants avec les instructions préalablement données au stagiaire le 4 avril 2022 (poste « Etude du dossier + instr. », pour une durée de 0,25 heure) ; ce dernier poste étant entièrement pris en compte, la déclaration d’appel, une fois rédigée, n’avait pas besoin de plus qu’une brève lecture cursive ; pour le reste, la préparation du dossier et la mise sous pli relèvent de pures tâches de secrétariat et ne sauraient donc donner lieu à indemnisation. Il en va de même des cinq mémos pris en compte pour 0,05 heure chacun. Enfin, le poste « Etude du dossier + prép. audience d’appel I/II » (3,65 heures) s’avère en partie redondant avec l’étude du dossier préalablement effectuée et la connaissance de la cause acquise en première instance ; il doit donc être ramené à 1,65 heure après déduction d’une durée de 2 heures. Par identité de motifs, les postes « Notes de plaidoirie » et « Recherches compl. doctrine », pour respectivement 2 heures et 0,40 heure, ne relèvent pas d’opérations utiles à l’exercice du mandat, la plaidoirie s’étant fondée sur la déclaration d’appel, déjà indemnisée. Enfin, le poste « (prévisible) Audience appel + 1 ft déplacement », pour 1,50</w:t>
      </w:r>
    </w:p>
    <w:p>
      <w:r>
        <w:t>- 32 - heure, ne saurait être pris en compte, s’agissant d’opérations déjà indemnisées, par la durée effective et le forfait d’audience de 120 francs. Pour ce qui est de la durée d’activité de l’avocat stagiaire, trois postes doivent être déduits de la liste d’opérations, à raison respectivement de 1 heure, 0,20 heure et 0,40 heure, soit pour un total de 1,60 heure. La durée d’activité à indemniser est donc de 8,90 heures. En effet, la rédaction de la déclaration d’appel par l’avocat stagiaire fait l’objet de quatre postes, respectivement pour 0,20 heure, 0,80 heure, 4 heures et 2,40 heures ; cette durée totale de 7,40 heures est excessive au vu de la nature et de la complexité limitée de la cause, s’agissant, comme déjà relevé, d’un dossier réputé déjà connu tant du maître de stage que de l’avocat stagiaire pour avoir été plaidé en première instance (cf. not. P. 133/2/12 ; jugement p. 45). Il y a dès lors lieu de déduire 1 heure du troisième poste (de 4 heures) et 0,40 heure du quatrième (de 2,40 heures). Enfin, le poste « Bordereau PP » (0,20 heure) relève de pures tâches de secrétariat et ne saurait donc donner lieu à indemnisation. Au tarif horaire de 180 fr., les honoraires afférents à l’activité de l’avocat s’élèvent donc à 1'836 fr. (10,20 x 180 fr.), alors que, au tarif horaire de 110 fr., les honoraires afférents à l’activité de l’avocat stagiaire s’élèvent à 979 fr. (8,90 x 110 fr.). A ces honoraires nets totaux de 2'815 fr. doivent être ajoutés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ainsi qu’une vacation forfaitaire de 120 fr. pour l’audience d’appel, ce qui porte les honoraires bruts à 3'221 fr. 65, débours et TVA compris.</w:t>
      </w:r>
    </w:p>
    <w:p>
      <w:r>
        <w:t>- 33 - Pour sa part, l’indemnité en faveur du conseil d'office de l’intimée doit être arrêtée selon la liste d’opérations produite (P. 164), soit à hauteur de 1’719 fr. 85, débours et TVA compris, L’appelante ne sera tenue de rembourser les indemnités de défense d’office et de conseil d’office ci-dessus que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