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PE19.007063 vom 15. Mai 2019</w:t>
      </w:r>
    </w:p>
    <w:p>
      <w:r>
        <w:t>VD Tribunal cantonal, 2019-05-15, FR</w:t>
      </w:r>
    </w:p>
    <w:p>
      <w:r>
        <w:rPr>
          <w:b/>
        </w:rPr>
        <w:t xml:space="preserve">Quelle: </w:t>
      </w:r>
      <w:r>
        <w:t>https://mcp.opencaselaw.ch/entscheid/vd_gerichte_PE19.007063</w:t>
      </w:r>
    </w:p>
    <w:p>
      <w:r>
        <w:t>FR: VD_GERICHTE PE19.007063 du 15 mai 2019</w:t>
      </w:r>
    </w:p>
    <w:p>
      <w:r>
        <w:t>IT: VD_GERICHTE PE19.007063 del 15 maggio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septembre 1979 ; BLV 173.01]). Interjeté en temps utile et dans les formes prescrites (art. 385 al. 1 CPP) auprès de l’autorité compétente, le recours est formellement recevable, sous réserve de la qualité de partie plaignante de la recourante, qui sera examinée sous chiffre 2 infra.</w:t>
      </w:r>
    </w:p>
    <w:p>
      <w:r>
        <w:rPr>
          <w:b/>
        </w:rPr>
        <w:t>E. 2</w:t>
      </w:r>
    </w:p>
    <w:p>
      <w:r>
        <w:t>La recourante fait grief au Ministère public d’avoir violé le principe in dubio pro duriore en retenant que M.________ n’avait pas de devoir de gestion des intérêts patrimoniaux de T.________ SA et que celle-ci n’avait subi aucun dommage du fait du comportement reproché.</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w:t>
      </w:r>
    </w:p>
    <w:p>
      <w:r>
        <w:t>- 5 -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Se rend coupable de gestion déloyale, au sens de l'art. 158 ch. 1 al. 1 CP (Code pénal suisse du 21 décembre 1937 ; RS 311.0), celui qui, tenu en vertu de la loi, d'un mandat officiel ou d'un acte juridique, de gérer les intérêts pécuniaires d'autrui ou de veiller sur leur gestion et qui, en violation de ses devoirs, aura porté atteinte à ces intérêts ou aura permis qu'ils soient lésés. Il y a gestion déloyale aggravée si l’auteur se rend coupable de gestion déloyale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w:t>
      </w:r>
    </w:p>
    <w:p>
      <w:r>
        <w:t>- 6 -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 ATF 105 IV 307 consid. 3).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6B_211/2012 du 7 septembre 2012 consid. 3 ; TF 6B_473/2011 du 13 octobre 2011 consid. 1.2.2 ; TF 6B_223/2010 du 13 janvier 2011 consid. 3.3.2 ; TF 6B_66/2008 du 9 mai 2008 consid. 6.3.3). L’infraction de gestion déloyale n’est consommée que s’il y a eu un dommage patrimonial. Ce préjudice doit être en rapport de causalité avec la violation des devoirs (Corboz, Les infractions en droit suisse, vol. I, 3e éd., Berne 2010, n. 10 ad art. 158 CP). Le dommage est une lésion du patrimoine sous la forme d’une diminution de l’actif, d’une augmentation du passif, d’une non-</w:t>
      </w:r>
    </w:p>
    <w:p>
      <w:r>
        <w:t>- 7 - augmentation de l’actif ou d’une non-diminution du passif, mais aussi d’une mise en danger de celui-ci telle qu’elle a pour effet d’en diminuer la valeur du point de vue économique. Un préjudice temporaire suffit (ATF 122 IV 279 consid. 2a ; ATF 121 IV 104 consid. 2c ; ATF 120 IV 122 consid. 6b/bb). Il n’est pas nécessaire que le dommage corresponde à l’enrichissement de l’auteur, ni qu’il soit chiffré ; il suffit qu’il soit certain (ATF 123 IV 17 consid. 3d). L’intention de l’auteur doit par ailleurs aussi porter sur ce dommage (Dupuis et al. [éd.], Petit commentaire, Code pénal, 2e éd., Bâle 2017, n. 41 à 44 ad art. 138 CP et n. 29 ad art. 158 CP, ainsi que les réf. citées).</w:t>
      </w:r>
    </w:p>
    <w:p>
      <w:r>
        <w:rPr>
          <w:b/>
        </w:rPr>
        <w:t>E. 2.3</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 tel est le cas notamment des représentants légaux, des héritiers du lésé, ainsi que des autorités et organisations habilitées à porter plainte, soit des personnes qui ne sont pas directement ou personnellement touchées par l'infraction.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(ATF 141 IV 1 consid. 3.1 ; TF 1B_372/2016 du 17 janvier 2017 consid. 3.1).</w:t>
      </w:r>
    </w:p>
    <w:p>
      <w:r>
        <w:t>- 8 -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TF 1B_372/2016 du 17 janvier 2017 consid. 3.1 ;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2.4</w:t>
      </w:r>
    </w:p>
    <w:p>
      <w:r>
        <w:t>En l’espèce et contrairement à ce que soutient la recourante, les règles contenues dans la convention d’actionnaires du 18 mars 2016 ne sauraient être interprétées en ce sens que M.________ se soit vu confier la défense des intérêts patrimoniaux liés à la qualité d’actionnaire de T.________ SA. Cette convention ne lui confère pas non plus un pouvoir de disposition autonome sur les biens qui lui sont remis. M.________ est en réalité tenu par un devoir de gestion et de sauvegarde des intérêts de la société C.________ SA. Il doit ainsi gérer les biens confiés dans l’intérêt de cette société, et non dans l’intérêt de l’un des actionnaires de celle-ci. Seule C.________ SA peut dès lors être lésée par une violation des devoirs confiés à M.________, les actionnaires ne pouvant le cas échéant subir qu’un dommage indirect et n’ayant ainsi pas la qualité de lésé, ni donc celle de partie plaignante. Ces règles ne peuvent pas être contournées par la conclusion d’une convention d’actionnaires, qui n’ouvre à l’actionnaire qu’une action sur le plan civil. L’ordonnance attaquée échappe ainsi à la critique en tant que le Ministère public a constaté que la recourante n’avait pas la qualité de lésée s’agissant des faits qu’elle reprochait à M.________. Force est en effet de constater que T.________ SA ne subit aucun dommage direct, en sa qualité d’actionnaire, du fait de la manière dont M.________ gère C.________</w:t>
      </w:r>
    </w:p>
    <w:p>
      <w:r>
        <w:t>- 9 - SA. La convention d’actionnaires ne peut au demeurant pas lui conférer la qualité de lésée, ni lui permettre de se prévaloir d’un dommage direct. Pour ces motifs, la recourante n’a pas la qualité de partie plaignante ni donc la qualité pour recourir, de sorte que son recours se révèle irrecevable.</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880 fr. (art. 20 al. 1 TFIP [Tarif des frais de procédure et indemnités en matière pénale du 28 septembre 2010 ; BLV 312.03.1]), seront mis à la charge de la recourante, qui doit être considérée comme ayant succombé (art. 428 al. 1, 2e phrase, CPP). Par ces motifs, la Chambre des recours pénale prononce : I. Le recours est irrecevable. II. Les frais d’arrêt, par 880 fr. (huit cent huitante francs), sont mis à la charge de T.________ SA. III. L’arrêt est exécutoire. Le président : La greffière : Du</w:t>
      </w:r>
    </w:p>
    <w:p>
      <w:r>
        <w:t>- 10 - Le présent arrêt, dont la rédaction a été approuvée à huis clos, est notifié, par l'envoi d'une copie complète, à : - Me Alain Dubuis, avocat (pour T.________ SA),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