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PE19.006919 vom 26. April 2019</w:t>
      </w:r>
    </w:p>
    <w:p>
      <w:r>
        <w:t>VD Tribunal cantonal, 2019-04-26, FR</w:t>
      </w:r>
    </w:p>
    <w:p>
      <w:r>
        <w:rPr>
          <w:b/>
        </w:rPr>
        <w:t xml:space="preserve">Quelle: </w:t>
      </w:r>
      <w:r>
        <w:t>https://mcp.opencaselaw.ch/entscheid/vd_gerichte_PE19.006919</w:t>
      </w:r>
    </w:p>
    <w:p>
      <w:r>
        <w:t>FR: VD_GERICHTE PE19.006919 du 26 avril 2019</w:t>
      </w:r>
    </w:p>
    <w:p>
      <w:r>
        <w:t>IT: VD_GERICHTE PE19.006919 del 26 aprile 2019</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w:t>
      </w:r>
    </w:p>
    <w:p>
      <w:r>
        <w:t>- 4 - compromette sérieusement la sécurité d’autrui par des crimes ou des délits graves après avoir déjà commis des infractions du même genre (let. c).</w:t>
      </w:r>
    </w:p>
    <w:p>
      <w:r>
        <w:rPr>
          <w:b/>
        </w:rPr>
        <w:t>E. 3.1</w:t>
      </w:r>
    </w:p>
    <w:p>
      <w:r>
        <w:t>Le recourant soutient que le dossier ne contiendrait aucun indice sérieux de culpabilité à son égard. Il conteste avoir dérobé des vélos et affirme avoir récupéré, le 6 avril 2019, des cycles qu’il avait garés sur le parking de la gare de [...], une semaine auparavant, dans l’intention de les vendre au marché des vélos d’occasion.</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t>- 5 -</w:t>
      </w:r>
    </w:p>
    <w:p>
      <w:r>
        <w:rPr>
          <w:b/>
        </w:rPr>
        <w:t>E. 3.3</w:t>
      </w:r>
    </w:p>
    <w:p>
      <w:r>
        <w:t>En l'espèce, il résulte des déclarations de S.________, co- prévenu du recourant, que ce dernier se livre à un commerce de cycles d’occasions, qu’il a souvent de beaux vélos à vendre alors qu’il manque presque toujours d’argent, et que, le 6 avril 2019, lorsqu’il a vu S.________ aller vers lui en compagnie d’agents de police, le recourant a pris la fuite. En outre, lorsqu’il a demandé l’aide de S.________ pour couper la chaîne du cadenas, D.________ a demandé à celui-ci de placer sa voiture d’une manière qui pourrait s’expliquer par le souci de ne pas être vu. Il existe dès lors à ce point de l'enquête des motifs suffisants de soupçonner le recourant de vol par métier, peu importe le témoignage de la musicienne de rue et du tenancier du kiosque qui auraient assisté à la scène. Le recourant semble en outre résider en Suisse sans autorisation. La première condition de la mise en détention provisoire est par conséquent réalisée.</w:t>
      </w:r>
    </w:p>
    <w:p>
      <w:r>
        <w:rPr>
          <w:b/>
        </w:rPr>
        <w:t>E. 4.1</w:t>
      </w:r>
    </w:p>
    <w:p>
      <w:r>
        <w:t>; ATF 132 I 21 consid. 4.1 ; TF 1B_238/2017 du 5 juillet 2017 consid. 2.2). 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[Constitution fédérale de la Confédération suisse du 18 avril 1999 ; RS 101]), qui impose d'examiner les possibilités de mettre en œuvre d'autres solutions moins dommageables que la détention (ATF 141 IV 190 consid. 3.1). L'art. 237 al. 2 CPP permet ainsi, entre autres mesures de substitution susceptibles d'entrer ici en considération, la saisie des documents d’identité et autres documents officiels (let. b), l’obligation de se présenter régulièrement à un service administratif (let. d) et l’interdiction d’entretenir des relations avec certaines personnes (let. g).</w:t>
      </w:r>
    </w:p>
    <w:p>
      <w:r>
        <w:rPr>
          <w:b/>
        </w:rPr>
        <w:t>E. 4.2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w:t>
      </w:r>
    </w:p>
    <w:p>
      <w:r>
        <w:t>- 6 -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4.3</w:t>
      </w:r>
    </w:p>
    <w:p>
      <w:r>
        <w:t>Dans le cas particulier, comme l’indique le Ministère public dans la requête de mise en détention du 7 avril 2019, l’enquête en est à son commencement. De nombreuses recherches doivent être entreprises s’agissant des vélos en lien avec D.________. Elles sont menées sur plusieurs cantons et portent sur une quantité importante de cycles, ce qui rend l’enquête complexe. Le Parquet ignore, à ce stade, l’ampleur de l’activité délictueuse du prévenu et, partant, la nature des preuves et/ou témoignages que le recourant pourrait compromettre. Des investigations poussées devront également être menées pour identifier d’éventuels receleurs. Le risque de collusion est donc concret.</w:t>
      </w:r>
    </w:p>
    <w:p>
      <w:r>
        <w:rPr>
          <w:b/>
        </w:rPr>
        <w:t>E. 5.1</w:t>
      </w:r>
    </w:p>
    <w:p>
      <w:r>
        <w:t>Le recourant soutient que le risque de fuite serait inexistant. Il prétend que le centre de ses intérêts se trouverait en Suisse, en invoquant notamment sa participation à plusieurs mouvements associatifs dans notre pays, ainsi que son absence d’attaches à l’étranger, sous réserve de la présence de ses frères et sœurs en Algérie.</w:t>
      </w:r>
    </w:p>
    <w:p>
      <w:r>
        <w:rPr>
          <w:b/>
        </w:rPr>
        <w:t>E. 5.2</w:t>
      </w:r>
    </w:p>
    <w:p>
      <w:r>
        <w:t>Selon la jurisprudence, le risque de fuite au sens de l’art. 221 al. 1</w:t>
      </w:r>
    </w:p>
    <w:p>
      <w:r>
        <w:t>- 7 -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(ATF 143 IV 160 consid. 4.3 ; TF 1B_308/2018 du 17 juillet 2018 consid. 3.1).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5.3</w:t>
      </w:r>
    </w:p>
    <w:p>
      <w:r>
        <w:t>En l’occurrence, D.________ est un ressortissant algérien. Il n’a aucun statut en Suisse et présente apparemment une situation socio- économique très précaire dans notre pays. Ainsi, compte tenu des éléments précités, des faits qui lui sont reprochés et de la peine susceptible d’être prononcée à son encontre en cas de condamnation, il est fortement à craindre qu’en cas de libération, le recourant se soustraie aux poursuites pénales engagées contre lui en fuyant le pays ou en entrant dans la clandestinité. Par conséquent, le risque de fuite est manifeste.</w:t>
      </w:r>
    </w:p>
    <w:p>
      <w:r>
        <w:rPr>
          <w:b/>
        </w:rPr>
        <w:t>E. 6.1</w:t>
      </w:r>
    </w:p>
    <w:p>
      <w:r>
        <w:t>Le recourant conteste également l’existence d’un risque de réitération, tandis que le Tribunal des mesures de contrainte l’estime concret, se ralliant entièrement à la prise de position du Ministère public.</w:t>
      </w:r>
    </w:p>
    <w:p>
      <w:r>
        <w:rPr>
          <w:b/>
        </w:rPr>
        <w:t>E. 6.2</w:t>
      </w:r>
    </w:p>
    <w:p>
      <w:r>
        <w:t>Les conditions posées par l'art. 221 CPP étant alternatives (TF 1B_242/2016 du 21 juillet 2016 consid. 5; CREP 23 juillet 2018/552), l’existence d’un risque de collusion et d’un risque de fuite dispense l'autorité de céans d'examiner si le recourant présente également un risque de réitération.</w:t>
      </w:r>
    </w:p>
    <w:p>
      <w:r>
        <w:t>- 8 -</w:t>
      </w:r>
    </w:p>
    <w:p>
      <w:r>
        <w:rPr>
          <w:b/>
        </w:rPr>
        <w:t>E. 7.1</w:t>
      </w:r>
    </w:p>
    <w:p>
      <w:r>
        <w:t>Le recourant se plaint enfin d’une violation du principe de la proportionnalité. Il soutient que la durée de la détention ordonnée serait excessive. Il prétend également que les mesures de substitution telles que proposées seraient suffisantes à prévenir les risques retenus.</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w:t>
      </w:r>
    </w:p>
    <w:p>
      <w:r>
        <w:rPr>
          <w:b/>
        </w:rPr>
        <w:t>E. 7.3</w:t>
      </w:r>
    </w:p>
    <w:p>
      <w:r>
        <w:t>En l’espèce, la détention provisoire a été ordonnée pour une durée de trois mois. Au vu des faits reprochés, des mesures d’instruction en cours – devant être menées dans plusieurs cantons et sur une quantité</w:t>
      </w:r>
    </w:p>
    <w:p>
      <w:r>
        <w:t>- 9 - importante de vélos – et de la peine susceptible d’être prononcée en cas de condamnation, celle-ci respecte le principe de la proportionnalité. Pour le surplus, en l’état du dossier et au vu de la situation personnelle du recourant, aucune mesure de substitution, que ce soit une confiscation des documents d’identité du recourant en mains du Ministère public, une obligation à se rendre une fois par semaine à un poste de police ou une interdiction de prendre contact avec S.________ ainsi qu’avec la musicienne de rue et le gérant de kiosque, n’apparaît suffisante pour pallier les risques retenus.</w:t>
      </w:r>
    </w:p>
    <w:p>
      <w:r>
        <w:rPr>
          <w:b/>
        </w:rPr>
        <w:t>E. 8</w:t>
      </w:r>
    </w:p>
    <w:p>
      <w:r>
        <w:t>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 BLV 312.03.1]), ainsi que les frais imputables à la défense d’office (art. 422 al. 1 et 2 let. a CPP), fixés à 720 fr., plus la TVA par 55 fr. 45, soit à 775 fr. 45 au total,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9 avril 2019 est confirmée.</w:t>
      </w:r>
    </w:p>
    <w:p>
      <w:r>
        <w:t>- 10 - III. L'indemnité allouée au défenseur d'office de D.________ est fixée à 775 fr. 45 (sept cent septante-cinq francs et quarante- cinq centimes). IV. Les frais d'arrêt, par 990 fr. (neuf cent nonante francs), ainsi que l'indemnité due au défenseur d’office de D.________, par 775 fr. 45 (sept cent septante-cinq francs et quarante-cinq centimes), sont mis à la charge de ce dernier. V. Le remboursement à l'Etat de l'indemnité allouée au chiffre III ci-dessus ne sera exigible que pour autant que la situation économique de D.________ le permette. VI. L’arrêt est exécutoire. Le président : Le greffier : Du Le présent arrêt, dont la rédaction a été approuvée à huis clos, est notifié, par l'envoi d'une copie complète, à : - Me Patrick Guy Dubois, avocat (pour D.________), - Ministère public central, et communiqué à : - Mme la Présidente du Tribunal des mesures de contrainte,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