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PE19.006651 vom 25. März 2021</w:t>
      </w:r>
    </w:p>
    <w:p>
      <w:r>
        <w:t>VD Tribunal cantonal, 2021-03-25, FR</w:t>
      </w:r>
    </w:p>
    <w:p>
      <w:r>
        <w:rPr>
          <w:b/>
        </w:rPr>
        <w:t xml:space="preserve">Quelle: </w:t>
      </w:r>
      <w:r>
        <w:t>https://mcp.opencaselaw.ch/entscheid/vd_gerichte_PE19.006651</w:t>
      </w:r>
    </w:p>
    <w:p>
      <w:r>
        <w:t>FR: VD_GERICHTE PE19.006651 du 25 mars 2021</w:t>
      </w:r>
    </w:p>
    <w:p>
      <w:r>
        <w:t>IT: VD_GERICHTE PE19.006651 del 25 marzo 2021</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L'art. 385 al. 1 CPP dispose que, si le code exige que le recours soit motivé, la personne ou l'autorité qui recourt indique précisément les points de la décision qu'elle attaque (let. a), les motifs qui commandent une autre décision (let. b) et les moyens de preuves qu'elle invoque (let. c). Les « motifs qui commandent une autre décision » au sens de l'art. 385 al. 1 let. b CPP doivent être étayés par le recourant sous l'angle des faits et du droit (TF 6B_347/2016 du 17 février 2017 consid. 4.1 et l'arrêt cité). Celui-ci doit donc énoncer les arguments, de fait ou de droit, sur lesquels il prétend se fonder pour faire modifier la décision en sa faveur (Lieber, in : Donatsch/Hansjakob/Lieber [éd.], Kommentar zur Schweizerischen Strafprozessordnung, 2e éd., Zurich/Bâle/Genève 2014, n.</w:t>
      </w:r>
    </w:p>
    <w:p>
      <w:r>
        <w:rPr>
          <w:b/>
        </w:rPr>
        <w:t>E. 1.3</w:t>
      </w:r>
    </w:p>
    <w:p>
      <w:r>
        <w:t>En l’espèce, le recours a été interjeté en temps utile, auprès de l’autorité compétente, par la partie plaignante qui a la qualité pour recourir (art. 382 al. 1 CPP). Le recourant veut rendre vraisemblable que l'infraction de faux témoignage visée à l'art. 307 CP serait réalisée, sans toutefois en faire la démonstration. En effet, il se borne à définir l'infraction sans démontrer en quoi les déclarations des prévenus pourraient être fausses et l'élément subjectif de l’infraction réalisé, ni discuter les éventuelles failles du raisonnement tenu par le Ministère public dans l’ordonnance entreprise. Par conséquent, le recourant ne fait pas la démonstration exigée par l’art. 385 al. 1 let. b CPP. La question de la recevabilité du recours peut toutefois rester ouverte, dès lors que, supposé recevable, le recours devrait de toute manière être rejeté pour les motifs exposés ci-après.</w:t>
      </w:r>
    </w:p>
    <w:p>
      <w:r>
        <w:rPr>
          <w:b/>
        </w:rPr>
        <w:t>E. 2</w:t>
      </w:r>
    </w:p>
    <w:p>
      <w:r>
        <w:t>Le recourant reproche au procureur d’avoir renoncé à certaines opérations d'enquête et soutient qu’il ne serait pas allé au terme de l'instruction en violation du droit et de la maxime d’instruction.</w:t>
      </w:r>
    </w:p>
    <w:p>
      <w:r>
        <w:t>- 7 -</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cette disposition,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En l’espèce, le recourant fait une confusion : en effet, la procureure n'a pas ouvert d'enquête au sens de l'art. 309 CPP et a rendu</w:t>
      </w:r>
    </w:p>
    <w:p>
      <w:r>
        <w:t>- 8 - une ordonnance de non-entrée en matière car, selon elle, les éléments qu’il alléguait étaient manifestement insuffisants pour considérer que les éléments constitutifs de l'infraction dénoncée seraient réunis. C'est le propre d'une ordonnance de non-entrée en matière. C’est au recourant qu’il appartient de démontrer en quoi il existe des soupçons suffisants pour ouvrir une enquête, ce qui n’est pas le cas en l’occurrence. En effet, le fait qu'il y ait des déclarations divergentes entre témoins ou avec les parties est le lot des procédures civiles. Cela ne signifie pas encore qu'il y ait de fausses déclarations au sens pénal. Ce premier moyen, mal fondé, doit dès lors être rejeté.</w:t>
      </w:r>
    </w:p>
    <w:p>
      <w:r>
        <w:rPr>
          <w:b/>
        </w:rPr>
        <w:t>E. 3</w:t>
      </w:r>
    </w:p>
    <w:p>
      <w:r>
        <w:t>Le recourant soutient que l'infraction commise par A.Z.________ ne serait pas un faux témoignage au sens de l'art. 307 CP mais plutôt une fausse déclaration d'une partie en justice au sens de l'art. 306 CP. Il estime que le Ministère public n'aurait pas démontré en quoi les faux témoignages des prévenus n'auraient pas influencé la procédure devant le Tribunal fédéral.</w:t>
      </w:r>
    </w:p>
    <w:p>
      <w:r>
        <w:rPr>
          <w:b/>
        </w:rPr>
        <w:t>E. 3.1.1</w:t>
      </w:r>
    </w:p>
    <w:p>
      <w:r>
        <w:t>Aux termes de l'art. 307 CP (Code pénal suisse du 21 décembre 1937; RS 311.0),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3e éd., vol. II, Berne 2010, nn. 3-4 ad art. 307 CP). L'infraction réprimée par l'art. 307 CP suppose que l'auteur soit intervenu en l'une des qualités mentionnées par cette disposition, soit comme témoin, expert, traducteur ou interprète</w:t>
      </w:r>
    </w:p>
    <w:p>
      <w:r>
        <w:t>- 9 - ;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du Code pénal, Bâle 2012, n. 13 ad art. 306 CP et n. 16 ad art. 307 CP ;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CREP 27 octobre 2011/470).</w:t>
      </w:r>
    </w:p>
    <w:p>
      <w:r>
        <w:rPr>
          <w:b/>
        </w:rPr>
        <w:t>E. 3.2</w:t>
      </w:r>
    </w:p>
    <w:p>
      <w:r>
        <w:t>Comme déjà relevé ci-dessus (cf. supra consid. 2.2), le grief du recourant est sans pertinence dès lors qu'il n'y a pas de soupçons suffisants de fausse déclaration, que ce soit au titre de l'art. 307 CP ou 306 CP.</w:t>
      </w:r>
    </w:p>
    <w:p>
      <w:r>
        <w:rPr>
          <w:b/>
        </w:rPr>
        <w:t>E. 4</w:t>
      </w:r>
    </w:p>
    <w:p>
      <w:r>
        <w:t>Le recourant pointe du doigt le délai écoulé entre le dépôt de sa plainte, soit 1er avril 2019, et la date de l’ordonnance entreprise, soit le 31 décembre 2020. Il se prévaut d’une violation du principe de célérité qui rendrait l’ordonnance illicite, ce qui conduirait à son annulation.</w:t>
      </w:r>
    </w:p>
    <w:p>
      <w:r>
        <w:t>- 10 -</w:t>
      </w:r>
    </w:p>
    <w:p>
      <w:r>
        <w:rPr>
          <w:b/>
        </w:rPr>
        <w:t>E. 4.1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4.2</w:t>
      </w:r>
    </w:p>
    <w:p>
      <w:r>
        <w:t>En l’espèce, le délai de 18 mois qui s’est écoulé entre le dépôt de la plainte et l’ordonnance entreprise est certes long. Toutefois, le recourant n'a rien entrepris pour faire activer le dossier (cf. le PV des opérations), contrairement à ce que la jurisprudence exige. De plus, il a attendu avril 2019 pour dénoncer des faits datant de 2007. Dans ces conditions, il est malvenu de reprocher une violation du principe de célérité au procureur. Ce grief, mal fondé, doit être rejeté.</w:t>
      </w:r>
    </w:p>
    <w:p>
      <w:r>
        <w:t>- 11 - 5. Le recourant soutient enfin que le Ministère public aurait violé le principe de l’opportunité dans la mesure où l’ordonnance entreprise lui causerait un préjudice irréparable, le privant d'un moyen dans la procédure civile à intervenir. 5.1 L'art. 393 al. 2 let. c CPP prévoit que le recours peut être formé pour des motifs d'opportunité.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Berne 2011, n. 5.7.3.5, pp. 797 s. ; Rémy, in : Jeanneret et al. [éd.], op. cit., n. 18 ad art. 393 CPP ; Stephensen/Thiriet, in : Niggli/Heer/Wiprächtiger [édit.], Basler Kommentar, Schweizerische Strafprozess-ordnung, Art. 196-457 StPO – Art. 1-54 JStPO, 2e éd., Bâle 2014, n. 17 ad art. 393 CPP; Schmid, Schweizerische Strafprozessordnung, Praxiskommentar, 2e éd., Zurich/St- Gall 2013, nn. 17 s. ad art. 393 CPP). 5.2 En l’espèce, on comprend mal l’argument du recourant dans la mesure où le litige civil qui l’a opposé à son ancien employeur a définitivement été jugé en 2012. En tout état de cause, si les soupçons d'une infraction sont, comme en l'espèce, insuffisants, le procureur ne peut pas rendre un acte d'accusation. Le grief, mal fondé, doit être rejeté.</w:t>
      </w:r>
    </w:p>
    <w:p>
      <w:r>
        <w:rPr>
          <w:b/>
        </w:rPr>
        <w:t>E. 6</w:t>
      </w:r>
    </w:p>
    <w:p>
      <w:r>
        <w:t>En définitive, le recours, manifestement mal fondé, doit être rejeté dans la mesure où il est recevable, sans échange d’écritures (art. 390 al. 2 CPP), et l’ordonnance attaquée confirmée. Les frais de la procédure de recours, constitués en l’espèce du seul émolument d'arrêt (art. 422 al. 1 CPP), par 1’100 fr. (art. 20 al. 1 TFIP [tarif des frais de procédure et indemnités en matière pénale; BLV 312.03.1), seront mis à la charge du recourant, qui succombe (art.</w:t>
      </w:r>
    </w:p>
    <w:p>
      <w:r>
        <w:t>- 12 - 428 al. 1 CPP). Vu le sort du recours, il n’y a pas lieu d’allouer d’indemnité pour la procédure de recours. Par ces motifs, la Chambre des recours pénale prononce : I. Le recours est rejeté dans la mesure où il est recevable. II. L’ordonnance du 31 décembre 2020 est confirmée. III. Les frais d’arrêt, par 1’100 fr. (mille cent francs), sont mis à la charge de W.________. IV. L’arrêt est exécutoire. Le président : La greffière : Du Le présent arrêt, dont la rédaction a été approuvée à huis clos, est notifié, par l'envoi d'une copie complète, à : - Me Georges Reymond, avocat (pour W.________), - Ministère public central, et communiqué à : - Mme la Procureure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