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PE19.005641 vom 16. Juni 2021</w:t>
      </w:r>
    </w:p>
    <w:p>
      <w:r>
        <w:t>VD Tribunal cantonal, 2021-06-16, FR</w:t>
      </w:r>
    </w:p>
    <w:p>
      <w:r>
        <w:rPr>
          <w:b/>
        </w:rPr>
        <w:t xml:space="preserve">Quelle: </w:t>
      </w:r>
      <w:r>
        <w:t>https://mcp.opencaselaw.ch/entscheid/vd_gerichte_PE19.005641</w:t>
      </w:r>
    </w:p>
    <w:p>
      <w:r>
        <w:t>FR: VD_GERICHTE PE19.005641 du 16 juin 2021</w:t>
      </w:r>
    </w:p>
    <w:p>
      <w:r>
        <w:t>IT: VD_GERICHTE PE19.005641 del 16 giugno 2021</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 art. 80 LOJV [Loi d’organisation judiciaire du 12 décembre 1979 ; BLV 173.01]).</w:t>
      </w:r>
    </w:p>
    <w:p>
      <w:r>
        <w:rPr>
          <w:b/>
        </w:rPr>
        <w:t>E. 1.2.1</w:t>
      </w:r>
    </w:p>
    <w:p>
      <w:r>
        <w:t>Le recours s’exerce par le dépôt d’un mémoire écrit et dûment motivé (art. 390 al. 1 et 396 al. 1 CPP). Les exigences de motivation du recours sont posées à l’art. 385 al. 1 CPP. L'art. 385 al. 1 CPP énonce que si le code exige que le recours soit motivé, la personne ou l'autorité qui recourt doit indiquer</w:t>
      </w:r>
    </w:p>
    <w:p>
      <w:r>
        <w:t>- 4 - précisément, les points de la décision qu'elle attaque (let. a), les motifs qui commandent une autre décision (let. b) et les moyens de preuve qu'elle invoque (let. c). Les points de la décision au sens de l’art. 385 al. 1 let. a CPP correspondent aux conclusions, qui ne peuvent viser que les chiffres du dispositif de la décision attaquée ; les conclusions du recours doivent tendre à la modification, respectivement à l’annulation de l’un ou de plusieurs chiffres du dispositif (Keller, in Donatsch/Lieber/Summers/Wohlers (éd.), Zürcher Kommentar, Kommentar zur Schweizerischen Strafprozessordnung, 3e éd. 2020, n. 13a ad art. 396 StPO ; Sträuli, in Jeanneret/Kuhn/Perrier Depeursinge (éd.), Commentaire romand, Code de procédure pénale suisse (CR CPP), 2e éd. 2019, n. 20 ad art. 396 CPP ; Guidon, in Niggli/Heer/Wiprächtiger (éd.), Basler Kommentar, Schweizerische Strafprozessordnung, 2e éd. 2014, n. 9b ad art. 396 StPO). Les motifs au sens de l'art. 385 al. 1 let. b CPP se réfèrent aux différents motifs de recours énoncés à l’art. 393 CPP, soit la violation du droit, y compris l’excès ou l’abus du pouvoir d’appréciation (art. 393 al.</w:t>
      </w:r>
    </w:p>
    <w:p>
      <w:r>
        <w:rPr>
          <w:b/>
        </w:rPr>
        <w:t>E. 1.2.2</w:t>
      </w:r>
    </w:p>
    <w:p>
      <w:r>
        <w:t>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vise</w:t>
      </w:r>
    </w:p>
    <w:p>
      <w:r>
        <w:t>- 5 -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w:t>
      </w:r>
    </w:p>
    <w:p>
      <w:r>
        <w:rPr>
          <w:b/>
        </w:rPr>
        <w:t>E. 1.3</w:t>
      </w:r>
    </w:p>
    <w:p>
      <w:r>
        <w:t>En l’espèce, aucun des trois actes déposés par le recourant (P. 298, P. 298/1 et P. 298/2) ne remplit les exigences de motivation énoncées aux art. 385 al. 1 et 396 al. 1 CPP. Alors que l’ordonnance de non-entrée en matière était fondée sur le fait que sa dénonciation – interprétée comme une plainte – ne contenait aucun indice de la commission d’une infraction, le recourant ne cherche pas à démontrer que ce raisonnement est erroné, mais continue à énumérer une série de reproches relatifs à la manière dont les diverses procédures dont il a fait l’objet ont été menées, sans alléguer, ni a fortiori étayer, le moindre soupçon que l’un des intervenants qu’il désigne puisse avoir commis une quelconque infraction pénale. Au surplus, aucun de ces trois actes ne contient de conclusions, ou de conclusions recevables, de la compétence de la cour de céans et dirigées contre l’ordonnance en cause. Partant, la motivation du recours ne satisfait pas aux exigences de forme de l'art. 385 al. 1 CPP, étant précisé que l’art. 385 al. 2 CPP ne permet pas de suppléer à un défaut de motivation.</w:t>
      </w:r>
    </w:p>
    <w:p>
      <w:r>
        <w:rPr>
          <w:b/>
        </w:rPr>
        <w:t>E. 2</w:t>
      </w:r>
    </w:p>
    <w:p>
      <w:r>
        <w:t>Il résulte de ce qui précède que le recours interjeté par X.________ doit être déclaré irrecevable. Les frais de la procédure de recours, constitués en l’espèce du seul émolument d’arrêt (art. 422 al. 1 CPP), par 550 fr. (art. 20 al. 1 TFIP [Tarif des frais de procédure et indemnités en matière pénale du 28 septembre 2010 ; BLV 312.03.1]),</w:t>
      </w:r>
    </w:p>
    <w:p>
      <w:r>
        <w:t>- 6 - seront mis à la charge du recourant, qui est réputé avoir succombé (art. 428 al. 1, 2e phr., CPP). Par ces motifs, la Chambre des recours pénale prononce : I. Le recours est irrecevable. II. Les frais d’arrêt, par 550 fr. (cinq cent cinquante francs), sont mis à la charge d’X.________. III. L’arrêt est exécutoire. Le président : La greffière : Du Le présent arrêt, dont la rédaction a été approuvée à huis clos, est notifié, par l'envoi d'une copie complète, à : - M. X.________,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