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PE19.005491 vom 5. Juni 2020</w:t>
      </w:r>
    </w:p>
    <w:p>
      <w:r>
        <w:t>VD Tribunal cantonal, 2020-06-05, FR</w:t>
      </w:r>
    </w:p>
    <w:p>
      <w:r>
        <w:rPr>
          <w:b/>
        </w:rPr>
        <w:t xml:space="preserve">Quelle: </w:t>
      </w:r>
      <w:r>
        <w:t>https://mcp.opencaselaw.ch/entscheid/vd_gerichte_PE19.005491</w:t>
      </w:r>
    </w:p>
    <w:p>
      <w:r>
        <w:t>FR: VD_GERICHTE PE19.005491 du 5 juin 2020</w:t>
      </w:r>
    </w:p>
    <w:p>
      <w:r>
        <w:t>IT: VD_GERICHTE PE19.005491 del 5 giugno 2020</w:t>
      </w:r>
    </w:p>
    <w:p>
      <w:pPr>
        <w:pStyle w:val="Heading2"/>
      </w:pPr>
      <w:r>
        <w:t>Erwägungen</w:t>
      </w:r>
    </w:p>
    <w:p>
      <w:r>
        <w:rPr>
          <w:b/>
        </w:rPr>
        <w:t>E. 6.1</w:t>
      </w:r>
    </w:p>
    <w:p>
      <w:r>
        <w:t>L’appelant conteste la destruction du matériel de culture saisi lors de la perquisition de son domicile.</w:t>
      </w:r>
    </w:p>
    <w:p>
      <w:r>
        <w:rPr>
          <w:b/>
        </w:rPr>
        <w:t>E. 6.2</w:t>
      </w:r>
    </w:p>
    <w:p>
      <w:r>
        <w:t>Selon l’art. 69 al. 1 CP, le juge prononce la confiscation des objets qui ont servi ou devaient servir à commettre 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Selon l’art. 69 al. 2 CP, le juge peut ordonner que les objets confisqués soient mis hors d'usage ou détruits. Il s’agit d’éviter que la mise en circulation de ces biens ne permette la commission d’autres infractions (Dupuis et alii, op. cit., n. 22 ad art. 69 CP).</w:t>
      </w:r>
    </w:p>
    <w:p>
      <w:r>
        <w:t>- 22 -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w:t>
      </w:r>
    </w:p>
    <w:p>
      <w:r>
        <w:rPr>
          <w:b/>
        </w:rPr>
        <w:t>E. 6.3</w:t>
      </w:r>
    </w:p>
    <w:p>
      <w:r>
        <w:t>En l’espèce, du matériel servant à la culture du cannabis a été saisi au domicile de l’appelant le 19 mars 2019, savoir notamment deux toiles de tente, trois transformateurs, un minuteur, quatre lampes UV carrées, cinq lampes UV rectangulaires, cinq tuyaux Masterflex de différentes tailles, quatre ventilateurs, une boîte en bois électrique, une lampe blanche UV rectangulaire, un filtre, un carton contenant du matériel de tente et des tuteurs, six néons, trois produits liquides et une mini serre contenant divers pots. Or, le prévenu a manifestement utilisé ce matériel pour cultiver du cannabis depuis 2015 et ce n’est que depuis le milieu de l’année 2018 qu’il cultive du CBD. Le prévenu lui-même a déclaré en mars 2019 n’avoir réalisé qu’une culture de CBD (PV aud. 1 R. 5). Les ventes reprochées au prévenu ont ainsi été réalisées avant que sa culture de CBD ne soit productive. Les objets confisqués ont donc servi à commettre des infractions. Partant, les conditions de leur confiscation, respectivement de leur destruction selon l’art. 69 al. 2 CP, sont réunies, de sorte que cette conclusion doit être rejetée.</w:t>
      </w:r>
    </w:p>
    <w:p>
      <w:r>
        <w:rPr>
          <w:b/>
        </w:rPr>
        <w:t>E. 7.1</w:t>
      </w:r>
    </w:p>
    <w:p>
      <w:r>
        <w:t>L’appelant, qui conclut au prononcé d’une peine plus clémente, ne fait valoir aucun moyen à cet égard. La quantité de cocaïne vendue par l’appelant retenue étant réduite à 4.8 g en appel (cas 1.5), il convient de revoir d’office la quotité de la peine fixée par le premier juge.</w:t>
      </w:r>
    </w:p>
    <w:p>
      <w:r>
        <w:t>- 23 -</w:t>
      </w:r>
    </w:p>
    <w:p>
      <w:r>
        <w:rPr>
          <w:b/>
        </w:rPr>
        <w:t>E. 7.2.1</w:t>
      </w:r>
    </w:p>
    <w:p>
      <w:r>
        <w:t>Selon l’art. 47 CP (Code pénal suisse du 21 décembre 1937 ; RS 311.0),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TF 6B_291/2020 du 15 mai 2020 consid. 2.1), à partir de laquelle le cas doit être considéré comme grave au sens de l'art. 19 al. 2 let. a LStup (ATF 121 IV 193 consid. 2b/aa). Le type de drogue et sa pureté doivent aussi</w:t>
      </w:r>
    </w:p>
    <w:p>
      <w:r>
        <w:t>- 24 -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 6B_1192/2018 du 23 janvier 2019 consid. 1.1; TF 6B_780/2018 du</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w:t>
      </w:r>
    </w:p>
    <w:p>
      <w:r>
        <w:t>- 25 -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7.2.3</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7.2.4</w:t>
      </w:r>
    </w:p>
    <w:p>
      <w:r>
        <w:t>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Aux termes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w:t>
      </w:r>
    </w:p>
    <w:p>
      <w:r>
        <w:t>- 26 -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w:t>
      </w:r>
    </w:p>
    <w:p>
      <w:r>
        <w:rPr>
          <w:b/>
        </w:rPr>
        <w:t>E. 7.3</w:t>
      </w:r>
    </w:p>
    <w:p>
      <w:r>
        <w:t>En l’espèce, Z.________ a enfreint la LStup en cultivant 1.6 kg de cannabis, en vendant à tout le moins 634 g de cannabis, en vendant 4.8 g de cocaïne, en favorisant le trafic d’héroïne de son colocataire et en consommant de la marijuana à raison d’un à cinq joints par jour pendant 20 mois, et occasionnellement de la cocaïne et de l’héroïne. Le premier juge a prononcé une peine pécuniaire de 180 jours-amende à 30 fr. le jour avec sursis pendant 3 ans, ainsi qu’une amende de 1'350 fr., la peine privative de liberté de substitution en cas de non-paiement fautif étant fixée à 45 jours. En appel, la quantité de cocaïne vendue par le prévenu retenue étant réduite à 4.8 g, le prévenu est partiellement libéré s’agissant de la vente de cocaïne. La culpabilité de l’appelant retenue au stade de l’appel s’avère moins lourde qu’en première instance, mais elle ne doit pas être minimisée, puisqu’il n’a pas hésité à héberger un trafiquant d’héroïne dans le seul but de bénéficier de sa générosité, et à mettre en danger la santé de quelques consommateurs à qui il a vendu du cannabis et de la cocaïne pour réaliser des bénéfices lui permettant notamment de satisfaire sa consommation personnelle. L’appelant persiste par ailleurs à contester une bonne partie des actes qui lui sont reprochés dont il avait admis certains et ne démontre ainsi aucune prise de conscience de la gravité de ses agissements. A cela s’ajoute qu’il y a concours d’infractions. A décharge, il sera tenu compte de la situation personnelle précaire du prévenu et du fait qu’il est consommateur de drogue. Une peine pécuniaire doit être prononcée pour sanctionner l’infraction et la complicité d’infraction à la LStup. L’infraction la plus grave</w:t>
      </w:r>
    </w:p>
    <w:p>
      <w:r>
        <w:t>- 27 - est l’infraction à la LStup, qui consiste en la culture et la vente de cannabis, ainsi qu’en la vente de cocaïne. Elle doit être sanctionnée de 90 jours-amende. Cette peine doit être augmentée, par l’effet du concours, de 30 jours-amende pour sanctionner la complicité d’infraction à la LStup, soit le fait que le prévenu a favorisé et contribué au trafic d’héroïne auquel se livrait son colocataire. Le montant du jour-amende de 30 fr., non contesté, est conforme à la situation financière de l’appelant. Une peine pécuniaire de 120 jours-amende à 30 fr. le jour est ainsi adéquate pour sanctionner le comportement délictueux du prévenu. Au vu de l’absence d’antécédents, le pronostic n’est pas défavorable, de sorte que les conditions à l’octroi du sursis sont bien réalisées. Le délai d’épreuve assortissant le sursis, arrêté à trois ans, est adéquat. Enfin, pour sanctionner la contravention à la Lstup, le premier juge a prononcé une amende de 1'350 fr., assortie d’une peine privative de liberté de substitution de 45 jours. Si la quotité de l’amende, fixée en application des critères légaux à charge et à décharge, et de la situation personnelle d’Z.________, ne prête pas le flanc à la critique, la peine privative de liberté de substitution doit être ramenée à 14 jours en cas de non-paiement fautif, afin de correspondre au taux de conversion « standard » de l’amende de 100 fr. pour un jour de privation de liberté (Dupuis et alii, op. cit., n. 9 ad art. 106 CP). Le jugement entrepris doit ainsi être rectifié d’office sur ce point. 8. En définitive, l’appel d’Z.________ doit être partiellement admis et le jugement entrepris réformé et rectifié d’office dans le sens des considérants. Me Aba Neeman, défenseur d’office d’Z.________, a produit une liste d’opérations faisant état de 14 heures et 50 minutes d’activité (P. 47), dont il n’y a pas lieu de s’écarter si ce n’est pour tenir compte du fait que les 5 heures d’activité consacrées à la préparation de l’audience d’appel et à l’assistance du prévenu aux débats d’appel ont été effectuées par l’avocat-stagiaire de Me Neeman et que les débours forfaitaires</w:t>
      </w:r>
    </w:p>
    <w:p>
      <w:r>
        <w:t>- 28 - doivent être alloués à concurrence de 2% (art. 26b TFIP [Tarif des frais judiciaires et indemnités en matière pénale du 28 septembre 2010 ; BLV 312.03.1], qui renvoie aux art. 2 al. 1 let. a et b et art. 3bis RAJ [Règlement sur l’assistance judiciaire en matière civile du 7 décembre 2010 ; BLV 211.02.3]). C’est ainsi une indemnité d’un montant de 2'634 fr. 75 (9h50 à 180 fr. [honoraires avocat breveté] + 5h à 110 fr. [honoraires avocat- stagiaire] + 80 fr. [1 vacation avocat-stagiaire] + 45 fr. 40 [débours] + 188 fr. 35 [TVA]) qui sera allouée à Me Aba Neeman. Vu l’issue de la cause, les frais de la procédure d’appel, par 5'454 fr. 75, constitués de l’émolument de jugement, par 2'820 fr. (art. 21 al. 1 et 2 TFIP), et de l’indemnité allouée au défenseur d’office d’Z.________, par 2'634 fr. 75, seront mis par moitié, soit 2'727 fr. 40, à la charge d’Z.________, qui obtient partiellement gain de cause (art. 428 al. 1 CPP), le solde étant laissé à la charge de l’Etat. Z.________ ne sera tenu de rembourser à l’Etat la moitié de l’indemnité allouée à son défenseur d’office mise à sa charge que lorsque que sa situation financière le permettra (art. 135 al. 4 let. a CPP).</w:t>
      </w:r>
    </w:p>
    <w:p>
      <w:r>
        <w:rPr>
          <w:b/>
        </w:rPr>
        <w:t>E. 9</w:t>
      </w:r>
    </w:p>
    <w:p>
      <w:r>
        <w:t>octobre 2018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