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PE19.005431 vom 7. Februar 2023</w:t>
      </w:r>
    </w:p>
    <w:p>
      <w:r>
        <w:t>VD Tribunal cantonal, 2023-02-07, FR</w:t>
      </w:r>
    </w:p>
    <w:p>
      <w:r>
        <w:rPr>
          <w:b/>
        </w:rPr>
        <w:t xml:space="preserve">Quelle: </w:t>
      </w:r>
      <w:r>
        <w:t>https://mcp.opencaselaw.ch/entscheid/vd_gerichte_PE19.005431</w:t>
      </w:r>
    </w:p>
    <w:p>
      <w:r>
        <w:t>FR: VD_GERICHTE PE19.005431 du 7 février 2023</w:t>
      </w:r>
    </w:p>
    <w:p>
      <w:r>
        <w:t>IT: VD_GERICHTE PE19.005431 del 7 febbraio 2023</w:t>
      </w:r>
    </w:p>
    <w:p>
      <w:pPr>
        <w:pStyle w:val="Heading2"/>
      </w:pPr>
      <w:r>
        <w:t>Erwägungen</w:t>
      </w:r>
    </w:p>
    <w:p>
      <w:r>
        <w:rPr>
          <w:b/>
        </w:rPr>
        <w:t>E. 22</w:t>
      </w:r>
    </w:p>
    <w:p>
      <w:r>
        <w:t>septembre 2020 avec [...] SA, entreprise basée à Lausanne ; ce contrat, signé par X.________, mentionne un domicile du prénommé à Prilly et prévoit un salaire mensuel brut de 6'675 francs. Il ressort au demeurant du Registre cantonal des personnes que X.________ était encore domicilié à Prilly en février 2021 (P. 8). Enfin, selon son frère, le prénommé aurait quitté la Suisse à cette période seulement (P. 13). Compte tenu du divorce des parents et de l'absence de liens entre le prévenu et son fils, on ne saurait reprocher au prévenu d'être rentré en France après la séparation intervenue peu après la naissance de [...], plutôt que de rester en Suisse où il n'avait semble-t-il aucune attache. Il y est toutefois revenu, pour une période d’environ six mois selon ses dires, entre septembre 2020 et février 2021, alors qu’il était déjà marié à son actuelle épouse en France, sans qu’on ne connaisse ni les raisons de sa venue en Suisse à ce moment, ni celles qui ont conduit à son retour en France. Certes ce retour semble coïncider chronologiquement avec la naissance de son deuxième enfant. On ne voit toutefois pas ce qui aurait empêché le prévenu de faire venir sa famille en Suisse, où il avait un travail et un bon salaire. Au vu de ces éléments, il apparaît établi qu'à tout le moins entre septembre 2020 et février 2021, le prévenu était au bénéfice d’un contrat de durée indéterminée en Suisse, où il avait un domicile. Si l’on ne</w:t>
      </w:r>
    </w:p>
    <w:p>
      <w:r>
        <w:t>- 15 - connait pas précisément ses charges durant cette période, le salaire mensuel prévu contractuellement lui permettait manifestement de s’acquitter, au moins partiellement, de la pension due à son fils [...] pendant cette période. Or, il n’a jamais versé le moindre argent ni à son fils, ni à son ex-femme, ni au BRAPA. Durant la période de septembre 2020 à février 2021, il s’est ainsi rendu coupable de violation d’une obligation d’entretien au sens de l’art. 217 CP. S’agissant du reste de la période visée par l'acte d'accusation, les éléments au dossier ne permettent toutefois pas de fonder la culpabilité du prévenu. Il doit ainsi être mis au bénéfice du principe in dubio pro reo et libéré pour les autres périodes que celle comprise entre septembre 2020 et février 2021. 6. 6.1. L’intimé étant reconnu coupable, par défaut, de violation d’une obligation d’entretien, il convient de fixer la peine qui doit sanctionner son comportement.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- 16 -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6B_620/2022 du 30 mars 2023, destiné à la publication, consid. 1.1 ; TF 6B_631/2021 du 7 février 2022 consid. 1.1). 6.2.2.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consid. 3.1.2 ; ATF 134 IV I consid. 4.2.2). 6.3. En l’espèce, la culpabilité du prévenu est légère compte tenu de la courte période concernée, X.________ étant en définitive reconnu coupable de violation d’une obligation d’entretien uniquement pour la période comprise entre septembre 2020 et février 2021. A charge, on retiendra son désintérêt pour ses affaires administratives, le prévenu n’ayant pas demandé la modification du jugement de divorce alors qu’il</w:t>
      </w:r>
    </w:p>
    <w:p>
      <w:r>
        <w:t>- 17 - estimait ne pas pouvoir s’acquitter d’une « pension suisse ». A décharge, on retiendra qu’il semble avoir souffert de ne jamais pouvoir entretenir une relation personnelle avec son fils, la mère de l’enfant ne lui permettant selon lui pas de le voir. S’agissant d’une première condamnation, une peine pécuniaire paraît adéquate pour sanctionner le comportement de X.________. Elle sera arrêtée à 45 jours, le montant du jour-amende étant fixé à 30 francs. Dans la mesure où l’intéressé remplit les conditions tant objectives que subjectives du sursis, l’exécution de cette peine sera suspendue avec un délai d’épreuve de deux ans. 7.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Compte tenu de la condamnation de X.________ pour une petite période sur celle visée par l’acte d’accusation, seule une part des frais de première instance, arrêtée à un quart, soit 612 fr. 10, sera mise à sa charge, le solde étant laissé à la charge de l’Etat. 8. En définitive, l’appel doit être partiellement admis et le jugement réformé dans le sens des considérants qui précèdent. Vu l’issue de la cause, les frais de la procédure d’appel, constitués en l’espèce de l’émolument d’audience et de jugement, par</w:t>
      </w:r>
    </w:p>
    <w:p>
      <w:r>
        <w:t>- 18 - 2'230 fr. (art. 422 al. 1 CPP ; 21 al. 1 et 2 TFIP [tarif des frais de procédure et indemnités en matière pénale du 28 septembre 2010 ; RSV 312.03.1]), seront mis par un quart, soit par 557 fr. 50, à la charge de X.________,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