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PE19.005041 vom 30. März 2020</w:t>
      </w:r>
    </w:p>
    <w:p>
      <w:r>
        <w:t>VD Tribunal cantonal, 2020-03-30, FR</w:t>
      </w:r>
    </w:p>
    <w:p>
      <w:r>
        <w:rPr>
          <w:b/>
        </w:rPr>
        <w:t xml:space="preserve">Quelle: </w:t>
      </w:r>
      <w:r>
        <w:t>https://mcp.opencaselaw.ch/entscheid/vd_gerichte_PE19.005041</w:t>
      </w:r>
    </w:p>
    <w:p>
      <w:r>
        <w:t>FR: VD_GERICHTE PE19.005041 du 30 mars 2020</w:t>
      </w:r>
    </w:p>
    <w:p>
      <w:r>
        <w:t>IT: VD_GERICHTE PE19.005041 del 30 marzo 2020</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auprès de l’autorité compétente par la partie plaignante qui a qualité pour recourir (art. 382 al. 1 CPP), le recours de E.________ est recevable.</w:t>
      </w:r>
    </w:p>
    <w:p>
      <w:r>
        <w:rPr>
          <w:b/>
        </w:rPr>
        <w:t>E. 2.1</w:t>
      </w:r>
    </w:p>
    <w:p>
      <w:r>
        <w:t>La recourante invoque une violation de l’art. 310 CPP et du principe in dubio pro duriore.</w:t>
      </w:r>
    </w:p>
    <w:p>
      <w:r>
        <w:t>- 7 -</w:t>
      </w:r>
    </w:p>
    <w:p>
      <w:r>
        <w:rPr>
          <w:b/>
        </w:rPr>
        <w:t>E. 2.2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6B_940/2016 du 6 juillet 2017 consid. 3.3). Selon la jurisprudence, cette disposition doit être appliquée conformément à l'adage in dubio pro duriore. Celui-ci découle du principe de la légalité (art. 5 al. 1 Cst. [Constitution fédérale de la Confédération suisse du 18 avril 1999 ; RS 101] et 2 al. 1 CPP en relation avec les art. 309 al. 1, 319 al. 1 et 324 CPP ;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En d'autres termes, il faut être certain que l'état de fait ne constitue aucune infraction. Une ordonnance de non-entrée en matière ne peut être rendue que dans les cas clairs du point de vue des faits, mais également du droit ; en cas de doute sur l’un de ces deux plans, et donc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JdT 2017 IV 357 ; ATF 138 IV 86 consid. 4.1.2 ; ATF 137 IV 285 consid. 2.3 et les références citées, JdT 2012 IV 160 ; TF 6B_1279/2018 du 26 mars 2019 consid. 2.1).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- 8 -</w:t>
      </w:r>
    </w:p>
    <w:p>
      <w:r>
        <w:rPr>
          <w:b/>
        </w:rPr>
        <w:t>E. 3.1</w:t>
      </w:r>
    </w:p>
    <w:p>
      <w:r>
        <w:t>S’agissant des atteintes à l’intégrité sexuelle, la recourante reproche au Ministère public de n’avoir pas tenu compte de l’ensemble de ses déclarations et relève que celles-ci ne permettent pas de considérer qu’elle aurait consenti aux rapports sexuels qu’elle a entretenus avec son ex-époux et que les affirmations de la Procureure en ce sens sont inacceptables. Elle fait valoir qu’elle a insisté à plusieurs reprises, lors de son audition, sur le fait qu’elle n’était pas consentante à de tels rapports, en disant notamment : « je lui dis que je ne veux pas. Il insiste. Je cède. », « je ne voulais pas » et « je refusais le rapport sexuel ». Elle ajoute que les lésions physiques constatées sont propres à démontrer de la résistance de sa part, que les photographies produites à l’appui de son recours démontrent la réalité des lésions et qu’elle n’a pas accouché durant les dix dernières années, ses fils étant majeurs depuis longtemps. Enfin, elle relève qu’elle a clairement exprimé son refus à son ex-époux, de sorte qu’il avait pleinement conscience qu’il la contraignait à l’acte sexuel.</w:t>
      </w:r>
    </w:p>
    <w:p>
      <w:r>
        <w:rPr>
          <w:b/>
        </w:rPr>
        <w:t>E. 3.2</w:t>
      </w:r>
    </w:p>
    <w:p>
      <w:r>
        <w:t>Aux termes de l’art. 189 al. 1 CP, celui qui, notamment en usant de menace ou de violence envers une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Selon l’art. 190 al. 1 CP, celui qui, notamment en usant de menace ou de violence, en exerçant sur sa victime des pressions d’ordre psychique ou en la mettant hors d’état de résister, aura contraint une personne de sexe féminin à subir l’acte sexuel, sera puni d’une peine privative de liberté de un à dix ans. Pour qu'il y ait contrainte en matière sexuelle, il faut que la victime ne soit pas consentante, que l'auteur le sache ou accepte cette éventualité et qu'il passe outre en profitant de la situation ou en employant un moyen efficace (ATF 122 IV 97 consid. 2b ; TF 6B_71/2015 du 19 novembre 2015 consid. 2.1.2). L'auteur fait usage de violence lorsqu'il emploie volontairement la force physique sur la victime afin de la</w:t>
      </w:r>
    </w:p>
    <w:p>
      <w:r>
        <w:t>- 9 - faire céder. Les pressions d'ordre psychique visent les cas où l'auteur provoque chez la victime des effets d'ordre psychique, tels que la surprise, la frayeur ou le sentiment d'une situation sans espoir, propres à la faire céder (ATF 128 IV 106 consid. 3a/bb ; ATF 122 IV 97 consid. 2b). Les infractions de contrainte sexuelle et de viol sont intentionnelles. Le dol éventuel suffit. L’auteur doit savoir que la victime n’est pas consentante ou en accepter l’éventualité. Il doit vouloir accepter que la victime soit contrainte par le moyen qu’il met en œuvre ou la situation qu’il exploite (Corboz, Les infractions en droit suisse, 3e éd. Berne 2010, nn. 23-24 ad art. 189 CP et n. 11 ad art. 190 CP).</w:t>
      </w:r>
    </w:p>
    <w:p>
      <w:r>
        <w:rPr>
          <w:b/>
        </w:rPr>
        <w:t>E. 3.3</w:t>
      </w:r>
    </w:p>
    <w:p>
      <w:r>
        <w:t>En l’espèce, après avoir procédé à l’audition de E.________, la Procureure a considéré que les éléments constitutifs des infractions contre l’intégrité sexuelle dénoncées par celle-ci n’étaient pas réalisés. Elle a retenu que les relations sexuelles avaient toujours été consenties par la recourante et que celle-ci « acceptait tout ». A cet égard, elle a notamment relevé que l’intéressée avait déclaré qu’elle « aimait ce genre de sport ». La Procureure a en outre retenu que la recourante n’avait fait état d’aucune violence ou menace de la part de son ex-époux si elle refusait des relations sexuelles. Cela étant, à la lecture du procès-verbal d’audition de E.________, force est de constater que le Ministère public n’a pas tenu compte de l’ensemble des déclarations faites par cette dernière. En effet, s’il est vrai que la recourante ne semblait pas opposée à entretenir, parfois, des relations sexuelles avec son époux durant leur mariage, elle a néanmoins expliqué que certaines de celles-ci n’étaient pas librement consenties (cf. PV aud. 1, l. 51). A titre d’exemple, on relève qu’elle a déclaré : « Je lui dis que ne je ne veux pas. Il insiste. Je cède » (cf. PV aud. 1, l. 56), ou encore : « Je refusais encore le rapport sexuel et il me proposait alors d’autres solutions pour assouvir ses désirs » (cf. PV aud. 1, l. 205-207). Par ailleurs, il ressort également des déclarations de E.________ qu’à plusieurs reprises, X.________ aurait selon elle pu et dû comprendre qu’elle ne voulait pas d’une relation sexuelle. Sur ce point, elle a en effet</w:t>
      </w:r>
    </w:p>
    <w:p>
      <w:r>
        <w:t>- 10 - fait état, au sujet d’une relation sexuelle, des termes suivants : « ça me blesse, ça saigne, ça fait mal, je commence à pleurer » (PV aud. 1, l. 71- 72). De plus, elle a ajouté : « il se rendait compte que je pleurais. Il se rendait compte car il y avait des sanglots, je lui disais "tu me fais mal", j’haletais, je lui demandais d’y aller doucement » (PV aud. 1, l. 74-76). Or, d’après la recourante, X.________ n’a jamais réagi et n’a en tous les cas jamais stoppé ses assauts sexuels. Dans ces circonstances, il apparaît que les relations sexuelles pourraient n’avoir pas toutes été consenties par E.________. Si cela ne signifie pas encore qu’une infraction a été commise, ce contexte aurait dû, à ce stade déjà, interpeller le Ministère public. Par ailleurs, la Procureure a écarté le certificat médical de la Dre [...] du 29 janvier 2019 (P. 4/2), au seul motif que ce document n’avait aucune valeur probante. Or, force est d’admettre que ce certificat médical confirme que la recourante avait une santé psychique fragile (états dépressifs malgré les médicaments prescrits depuis 1997) et que d’un point de vue gynécologique, on retrouvait après chaque examen des délabrements de la muqueuse vaginale, un col utérin toujours très irrité et au niveau périnéale des déchirures vulvaires s’étendant jusqu’au sphincter anal. Quoi qu’en dise le Ministère public, ce diagnostic confirme la vraisemblance de relations sexuelles à haute fréquence, qui sont d’ailleurs dénoncées par E.________ elle-même, ainsi que de douleurs ressenties à certaines occasions par cette dernière. L’explication de la Procureure selon laquelle certaines lésions auraient pu être causées lors de l’accouchement n’est pas convaincante. Il n’est pas exclu que tel soit le cas, mais il sied de relever que le second enfant de la recourante est né en 1976, soit trente ans avant les premiers constats de la gynécologue marocaine. Aussi, retenir cet élément pour écarter tout lien entre les relations et les lésions est excessivement réducteur. Face à de tels éléments, il appartenait au Ministère public d’ouvrir une instruction pénale et de vérifier la véracité des accusations portées contre X.________, en procédant à tout le moins à l’audition de ce dernier, et non de rendre d’emblée une ordonnance de non-entrée matière. Il incombera donc au Ministère public d’ouvrir formellement une</w:t>
      </w:r>
    </w:p>
    <w:p>
      <w:r>
        <w:t>- 11 - enquête pénale et de procéder notamment à cette audition, puis, en fonction des éléments alors en sa possession, à procéder à toute autre mesure d’investigation utile dans un tel contexte.</w:t>
      </w:r>
    </w:p>
    <w:p>
      <w:r>
        <w:rPr>
          <w:b/>
        </w:rPr>
        <w:t>E. 4.1</w:t>
      </w:r>
    </w:p>
    <w:p>
      <w:r>
        <w:t>S’agissant des atteintes à la liberté et au patrimoine, la recourante relève qu’elle était dans un état de faiblesse extrême – elle avait fait une tentative de suicide et septante-deux heures de coma – au moment où son ex-époux lui a selon elle fait signer la convention de divorce litigieuse, qu’il connaissait l’état de santé de cette dernière et qu’il en a sciemment profité pour péjorer sa situation. Elle ajoute qu’elle n’a pas accepté le risque que la vente de la maison de [...] lui rapporte moins que la valeur de celle-ci, que son ex-époux, en tant que professionnel, savait qu’elle ne pourrait pas revendre les biens immobiliers aux prix auxquels ils avaient été évalués et que la disproportion était en définitive évidente entre la valeur de ces biens immobiliers et les avoirs de prévoyance professionnel du prévenu.</w:t>
      </w:r>
    </w:p>
    <w:p>
      <w:r>
        <w:rPr>
          <w:b/>
        </w:rPr>
        <w:t>E. 4.2</w:t>
      </w:r>
    </w:p>
    <w:p>
      <w:r>
        <w:t>Se rend coupable d’extorsion et chantage au sens de l’art. 156 ch. 1 CP, celui qui, dans le dessein de se procurer ou de procurer à un tiers un enrichissement illégitime, aura déterminé une personne à des actes préjudiciables à ses intérêts pécuniaires ou à ceux d’un tiers, en usant de violence ou en la menaçant d’un dommage sérieux. Se rend coupable d’usure au sens de l'art. 157 ch. 1 CP celui qui aura exploité la gêne, la dépendance, l’inexpérience ou la faiblesse de la capacité de jugement d’une personne en se faisant accorder ou promettre par elle, pour lui-même ou pour un tiers, en échange d’une prestation, des avantages pécuniaires en disproportion évidente avec celle-ci sur le plan économique ou celui qui aura acquis une créance usuraire et l’aura aliénée ou fait valoir. Se rend coupable de contrainte au sens de l’art. 181 CP, celui qui, en usant de violence envers une personne ou en la menaçant d’un dommage sérieux, ou en l’entravant de quelque autre manière dans sa</w:t>
      </w:r>
    </w:p>
    <w:p>
      <w:r>
        <w:t>- 12 - liberté d’action, l’aura obligée à faire, à ne pas faire ou à laisser faire un acte sera puni d’une peine privative de liberté de trois ans au plus ou d’une peine pécuniaire</w:t>
      </w:r>
    </w:p>
    <w:p>
      <w:r>
        <w:rPr>
          <w:b/>
        </w:rPr>
        <w:t>E. 4.3</w:t>
      </w:r>
    </w:p>
    <w:p>
      <w:r>
        <w:t>En l’espèce, il y a lieu de relever que, dans le cadre de la procédure de divorce, la possibilité a été donnée à E.________ de réfléchir sur le contenu et la portée de la convention sur les effets du divorce, puisque la première audience a précisément été suspendue à cet effet (P. 4/5, p. 2). Lors de la seconde audience, la Présidente a entendu les époux ensemble puis la recourante seule. Celle-ci a alors confirmé avoir adhéré à la convention après mûre réflexion (ibid.). L’élément de contrainte ne saurait ainsi être réalisé. De même, dans ces conditions, la recourante ne saurait invoquer un abus de son état de faiblesse. S’agissant d’une éventuelle disproportion, l’autorité de céans n’en perçoit aucune. S’il l’on peut toujours espérer vendre un bien immobilier à un prix plus élevé, il n’en demeure pas moins que le prix retenu et celui souhaité par la recourante n’étaient pas clairement disproportionnés l’un par rapport à l’autre. En effet, la maison de [...] a en l’occurrence été vendue au prix de 1'250'000 fr. alors qu’elle avait été évaluée à 1'400'000 fr., soit seulement 150'000 fr. de plus (P. 4/1, pp. 6-7). En outre, celle d’ [...] a certes été vendue à un prix moindre que la valeur prévue, mais au fils de la recourante (PV aud. 1). Dans ces conditions, elle a manifestement dû se mettre d’accord sur le prix en question avec ce dernier. Quant à la question de la renonciation au partage des avoirs de prévoyance professionnelle de X.________, celle-ci a également été examinée par la Présidente du Tribunal civil de l’arrondissement de La Côte. Or, cette magistrate n’a pas évoqué de disproportion à cet égard dans le cadre de son jugement et a indiqué que la renonciation au partage était conforme à la loi (P. 4/5, p. 3). On relèvera enfin que E.________ n’a à aucun moment invoqué l’erreur au sens de l’art. 23 CO (Code des obligations du 30 mars 1911 ; RS 220) pour contester la validité de la convention de divorce litigieuse. En définitive, on ne discerne aucune infraction pénale sur ce point. L’éventuel litige qui pourrait opposer les parties à cet égard est</w:t>
      </w:r>
    </w:p>
    <w:p>
      <w:r>
        <w:t>- 13 - exclusivement de nature civile et doit ou devait, le cas échéant, être réglé devant les juridictions idoines, et non au moyen d’une plainte pénale. Partant, l’ordonnance rendue le 24 janvier 2020 par le Ministère public de l’arrondissement de La Côte ne prête pas le flanc à la critique sur ce point.</w:t>
      </w:r>
    </w:p>
    <w:p>
      <w:r>
        <w:rPr>
          <w:b/>
        </w:rPr>
        <w:t>E. 5</w:t>
      </w:r>
    </w:p>
    <w:p>
      <w:r>
        <w:t>En définitive, le recours doit être partiellement admis. L’ordonnance attaquée sera annulée en tant qu’elle concerne les accusations d’atteintes à l’intégrité sexuelle dénoncées par E.________ et confirmée pour le surplus. Le dossier de la cause sera ainsi renvoyé au Ministère public qu’il procède dans le sens des considérants. Vu le sort du recours, les frais de la procédure, constitués en l’espèce du seul émolument d’arrêt (art. 422 al. 1 CPP), par 1’430 fr. (art. 20 al. 1 TFIP [Tarif des frais de procédure et indemnités en matière pénale du 28 septembre 2010 ; BLV 312.03.1]), seront mis par un tiers, soit par 476 fr. 65, à la charge de la recourante, qui succombe partiellement (art. 428 al. 1 CPP), le solde, par 953 fr. 50, étant laissé à la charge de l’Etat. La recourante, qui a procédé avec l’assistance d’un avocat de choix et qui a obtenu partiellement gain de cause, a droit, de la part de l’Etat, à une indemnité réduite pour les dépenses obligatoires occasionnées par la procédure de recours (art. 433 al. 1 let. a CPP, applicable par renvoi de l’art. 436 al. 1 CPP). Au vu du mémoire de recours produit et de la nature de l’affaire, la pleine indemnité sera fixée à 900 fr. (trois heures à 300 fr. ; art. 26a al. 3 TFIP), montant auquel il convient d’ajouter des débours forfaitaires à concurrence de 2 % des honoraires admis (art. 19 al. 2 TDC [Tarif des dépens en matière civile du 23 novembre 2010 ; BLV 270.11.6], applicable par renvoi de l'art. 26a al. 6 TFIP), par 18 fr., et la TVA au taux de 7,7 %, par 70 fr. 70, soit à 988 fr. 70 au total. Vu le parallélisme entre le sort des frais et celui des indemnités (ATF 137 IV 352 consid. 2.4.2, JdT 2012 IV 255), elle sera réduite d'un tiers, soit à un montant arrondi de 659 francs.</w:t>
      </w:r>
    </w:p>
    <w:p>
      <w:r>
        <w:t>- 14 - Par ces motifs, la Chambre des recours pénale prononce : I. Le recours est partiellement admis. II. L’ordonnance du 24 janvier 2020 est annulée en tant qu’elle porte sur les accusations d’atteintes à l’intégrité sexuelle émanant de E.________ ; elle est confirmée pour le surplus. III. Le dossier de la cause est renvoyé au Ministère public de l’arrondissement de La Côte pour qu’il procède dans le sens des considérants. IV. Les frais d’arrêt, par 1'430 fr. (mille quatre cent trente francs), sont mis pour un tiers, soit par 476 fr. 65 (quatre cent septante-six francs et soixante-cinq centimes), à la charge de E.________, le solde, par 953 fr. 35 (neuf cent cinquante-trois francs et trente-cinq centimes), étant laissé à la charge de l’Etat. V. Une indemnité de 659 fr. (six cent cinquante-neuf francs) est allouée à E.________ pour les dépenses occasionnées par la procédure de recours, à la charge de l’Etat. VI. L’arrêt est exécutoire. Le président : Le greffier : Du Le présent arrêt, dont la rédaction a été approuvée à huis clos, est notifié, par l'envoi d'une copie complète, à : - Me Cyrielle Friedrich, avocate (pour E.________), - Ministère public central,</w:t>
      </w:r>
    </w:p>
    <w:p>
      <w:r>
        <w:t>- 15 -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