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PE19.004872 vom 18. März 2019</w:t>
      </w:r>
    </w:p>
    <w:p>
      <w:r>
        <w:t>VD Tribunal cantonal, 2019-03-18, FR</w:t>
      </w:r>
    </w:p>
    <w:p>
      <w:r>
        <w:rPr>
          <w:b/>
        </w:rPr>
        <w:t xml:space="preserve">Quelle: </w:t>
      </w:r>
      <w:r>
        <w:t>https://mcp.opencaselaw.ch/entscheid/vd_gerichte_PE19.004872</w:t>
      </w:r>
    </w:p>
    <w:p>
      <w:r>
        <w:t>FR: VD_GERICHTE PE19.004872 du 18 mars 2019</w:t>
      </w:r>
    </w:p>
    <w:p>
      <w:r>
        <w:t>IT: VD_GERICHTE PE19.004872 del 18 marzo 2019</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ce propos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consid. 1.2 à 1.4 et les réf. citées, jurisprudence confirmée ultérieurement à l’ATF 137 IV 87 et à l’ATF 137 IV 230 consid. 1 ; JdT 2016 III 180 consid. 1.1).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le recours du Ministère public est recevable.</w:t>
      </w:r>
    </w:p>
    <w:p>
      <w:r>
        <w:rPr>
          <w:b/>
        </w:rPr>
        <w:t>E. 2.1</w:t>
      </w:r>
    </w:p>
    <w:p>
      <w:r>
        <w:t>Le Ministère public relève que F.________ a fait l’objet d’une expulsion judiciaire du territoire suisse pour une durée de cinq ans, qu’il a reconnu avoir volé un téléphone portable dans le courant du mois de février 2019, dans un véhicule non verrouillé, à Lausanne, et qu’il consomme des produits stupéfiants. Il soutient que les infractions de vol et de rupture de ban, dont la réalisation est évidente, justifient la détention provisoire de l’intéressé au vu des risques de fuite et de récidive existants et de la peine susceptible d’être prononcée à l’encontre de ce dernier.</w:t>
      </w:r>
    </w:p>
    <w:p>
      <w:r>
        <w:t>- 6 -</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2e éd., Bâle 2014, n. 3 ad art. 221 CPP).</w:t>
      </w:r>
    </w:p>
    <w:p>
      <w:r>
        <w:rPr>
          <w:b/>
        </w:rPr>
        <w:t>E. 2.3</w:t>
      </w:r>
    </w:p>
    <w:p>
      <w:r>
        <w:t>En l’espèce, l’art. 291 al. 1 CP (Code pénal suisse du 21 décembre 1937 ; RS 311.0) punit celui qui aura contrevenu à une décision d’expulsion du territoire de la Confédération ou d’un canton prononcée par une autorité compétente. Selon l’art. 66c al. 1 CP, l’expulsion pénale s’applique dès l’entrée en force du jugement. Il n’est</w:t>
      </w:r>
    </w:p>
    <w:p>
      <w:r>
        <w:t>- 7 - donc pas nécessaire que l’autorité d’exécution rende une décision à cet égard. Aussi, en ne quittant pas le territoire suisse alors que le jugement du Tribunal de police de l’arrondissement de Lausanne du 21 janvier 2019, définitif et exécutoire, le lui imposait puisqu’il a ordonné son expulsion de celui-ci, F.________ paraît s’être rendu coupable de rupture de ban au sens de la disposition précitée. En outre, lors de son audition par la police le 8 mars 2019, le prévenu, à la question de savoir s’il avait commis des délits, a spontanément déclaré qu’un mois auparavant, il avait pris un téléphone portable dans une voiture ouverte à Lausanne et qu’il l’avait revendu (D. et R. 6) pour un prix de 50 fr. (PV audition d’arrestation du 9 mars 2019, ligne 224). Il s’est donc vraisemblablement rendu coupable de vol. La condition préalable consistant en l’existence de soupçons sérieux de culpabilité d’avoir commis des délits est donc réalisée.</w:t>
      </w:r>
    </w:p>
    <w:p>
      <w:r>
        <w:rPr>
          <w:b/>
        </w:rPr>
        <w:t>E. 3.1</w:t>
      </w:r>
    </w:p>
    <w:p>
      <w:r>
        <w:t>Le recourant invoque l’existence de risques de fuite, de collusion et de récidive. S’agissant du risque de fuite, il fait valoir que le prévenu est en situation illégale en Suisse, dont son expulsion a d’ailleurs été ordonnée, et qu’il n’a aucune famille dans notre pays, de sorte qu’il y aurait très sérieusement lieu de craindre qu’en cas de libération, il se soustraie à la justice pour vivre dans la clandestinité.</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w:t>
      </w:r>
    </w:p>
    <w:p>
      <w:r>
        <w:t>- 8 - un danger de fuite en raison de l'importance de la peine dont le prévenu est menacé (ATF 125 I 60 consid. 3a ; ATF 117 Ia 69 consid. 4a).</w:t>
      </w:r>
    </w:p>
    <w:p>
      <w:r>
        <w:rPr>
          <w:b/>
        </w:rPr>
        <w:t>E. 3.3</w:t>
      </w:r>
    </w:p>
    <w:p>
      <w:r>
        <w:t>En l’occurrence, le prévenu a déclaré qu’il n’avait pas de famille en Suisse (PV audition d’arrestation du 9 mars 2019, lignes 188- 189). Il loge dans un foyer de l’EVAM et a pour seuls revenus un montant de 300 fr. par mois pour des nettoyages qu’il effectue à [...] (ibid., lignes 182-187). Force est dès lors de constater qu’aucun élément ne le lie à la Suisse et ne le retient dans notre pays. En outre, il reste à F.________ à purger ici une peine privative de liberté de six mois, sous déduction de trois jours de détention provisoire, que lui a infligée le Tribunal de police le 21 janvier 2019. Il y a donc tout lieu de craindre que le prévenu soit tenté de disparaître dans la clandestinité afin d’échapper à l’exécution de cette sanction ainsi qu’à la nouvelle peine qui pourrait être prononcée à l’issue de la présente procédure. Au vu de ces éléments, le risque de fuite est manifeste et doit être retenu.</w:t>
      </w:r>
    </w:p>
    <w:p>
      <w:r>
        <w:rPr>
          <w:b/>
        </w:rPr>
        <w:t>E. 3.4</w:t>
      </w:r>
    </w:p>
    <w:p>
      <w:r>
        <w:t>La réalisation d’un seul des risques énumérés à l’art. 221 al. 1 CPP suffit pour justifier la détention provisoire (TF 1B_242/2016 du 21 juillet 2016 consid. 5). Il n’est par conséquent pas nécessaire d’examiner si la détention provisoire s’impose également en raison d’un risque de collusion et/ou de récidive.</w:t>
      </w:r>
    </w:p>
    <w:p>
      <w:r>
        <w:rPr>
          <w:b/>
        </w:rPr>
        <w:t>E. 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w:t>
      </w:r>
    </w:p>
    <w:p>
      <w:r>
        <w:t>- 9 -</w:t>
      </w:r>
    </w:p>
    <w:p>
      <w:r>
        <w:rPr>
          <w:b/>
        </w:rPr>
        <w:t>E. 4.2</w:t>
      </w:r>
    </w:p>
    <w:p>
      <w:r>
        <w:t>Dans le cas d’espèce, vu les faits reprochés à F.________ et les nombreux antécédents de ce dernier, une détention provisoire d’une durée de trois mois n’apparaît pas excessive au regard de la peine finalement susceptible d’être prononcée, étant rappelé que l’infraction de rupture de ban est passible d’une peine maximale de trois ans de privation de liberté. Le principe de la proportionnalité est dès lors respecté.</w:t>
      </w:r>
    </w:p>
    <w:p>
      <w:r>
        <w:rPr>
          <w:b/>
        </w:rPr>
        <w:t>E. 5.1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Lorsque la détention provisoire tend à prévenir des risques de fuite et de récidive, l'exécution d'une peine privative de liberté résultant d'une précédente condamnation constitue en principe une mesure de substitution adéquate (ATF 142 IV 367 consid. 2.2).</w:t>
      </w:r>
    </w:p>
    <w:p>
      <w:r>
        <w:rPr>
          <w:b/>
        </w:rPr>
        <w:t>E. 5.2</w:t>
      </w:r>
    </w:p>
    <w:p>
      <w:r>
        <w:t>En l’espèce, l’exécution de la peine privative de liberté de six mois à laquelle F.________ a été condamné par jugement du 21 janvier 2019 pourrait constituer une mesure de substitution adéquate à la détention provisoire. L’exécution de cette peine devra dès lors être ordonnée à ce titre dès que possible. Il n’est toutefois pas certain que</w:t>
      </w:r>
    </w:p>
    <w:p>
      <w:r>
        <w:t>- 10 - cette exécution puisse intervenir avant l’échéance de la détention provisoire ordonnée, de sorte que la mesure de substitution ne sera pas formellement prononcée en l’état.</w:t>
      </w:r>
    </w:p>
    <w:p>
      <w:r>
        <w:rPr>
          <w:b/>
        </w:rPr>
        <w:t>E. 6</w:t>
      </w:r>
    </w:p>
    <w:p>
      <w:r>
        <w:t>En définitive, le recours doit être admis et l’ordonnance attaquée réformée dans le sens des considérants qui précèdent.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360 fr., plus la TVA par 27 fr. 70, soit à 387 fr. 70 au total, seront mis à la charge de F.________, qui succombe (art. 428 al. 1, 1re phrase, CPP). Le remboursement à l’Etat de l’indemnité allouée au défenseur d’office de l’intimé ne sera toutefois exigible que pour autant que la situation financière de ce dernier le permette (art. 135 al. 4 CPP). Par ces motifs, la Chambre des recours pénale prononce : I. Le recours est admis. II. L’ordonnance du 11 mars 2019 est réformée aux chiffres I et II de son dispositif comme suit : « I. ordonne la détention provisoire de F.________ ; II. fixe la durée maximale de la détention provisoire à 3 (trois) mois, soit jusqu’au 7 juin 2019 au plus tard. » L’ordonnance est confirmée pour le surplus. III. L’indemnité allouée au défenseur d’office de F.________ est fixée à 387 fr. 70 (trois cent huitante-sept francs et septante centimes).</w:t>
      </w:r>
    </w:p>
    <w:p>
      <w:r>
        <w:t>- 11 - IV. Les frais d’arrêt, par 1’100 fr. (mille cent francs), ainsi que l’indemnité due au défenseur d’office de F.________, par 387 fr. 70 (trois cent huitante-sept francs et septante centimes), sont mis à la charge de ce dernier.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Marc Cheseaux, avocat (pour F.________), - Ministère public central, et communiqué à : - Mme la Procureure de l’arrondissement de l’Est vaudois, - Mme la Présidente ad hoc du Tribunal des mesures de contrainte,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- 12 -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