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PE19.004321 vom 16. Dezember 2019</w:t>
      </w:r>
    </w:p>
    <w:p>
      <w:r>
        <w:t>VD Tribunal cantonal, 2019-12-16, FR</w:t>
      </w:r>
    </w:p>
    <w:p>
      <w:r>
        <w:rPr>
          <w:b/>
        </w:rPr>
        <w:t xml:space="preserve">Quelle: </w:t>
      </w:r>
      <w:r>
        <w:t>https://mcp.opencaselaw.ch/entscheid/vd_gerichte_PE19.004321</w:t>
      </w:r>
    </w:p>
    <w:p>
      <w:r>
        <w:t>FR: VD_GERICHTE PE19.004321 du 16 décembre 2019</w:t>
      </w:r>
    </w:p>
    <w:p>
      <w:r>
        <w:t>IT: VD_GERICHTE PE19.004321 del 16 dicembre 2019</w:t>
      </w:r>
    </w:p>
    <w:p>
      <w:pPr>
        <w:pStyle w:val="Heading2"/>
      </w:pPr>
      <w:r>
        <w:t>Erwägungen</w:t>
      </w:r>
    </w:p>
    <w:p>
      <w:r>
        <w:rPr>
          <w:b/>
        </w:rPr>
        <w:t>E. 2</w:t>
      </w:r>
    </w:p>
    <w:p>
      <w:r>
        <w:t>Le 8 novembre 2018 en soirée, à [...],T.________ a fait le guet pendant que O.________ arrachait le cylindre de la porte d’entrée de la maison d’R.________ et de G.________, s’y est introduit et a fouillé les lieux avant d’emporter divers bijoux, parfums et accessoires de luxe avec l’aide de T.________ (…) ». On comprend de l'acte précité qu’il est reproché à l'appelant d’avoir participé à la commission de deux cambriolages, en surveillant notamment les alentours pendant que son comparse forçait les portes d’entrée. On ne voit pas ce qui aurait pu être davantage explicité. Cet acte permet à T.________ de comprendre sans équivoque qu’une coaction lui est reprochée. Le prévenu a au demeurant expressément contesté être un coauteur dans son appel (cf. chiffres 24, 33, 35 et 42 de son mémoire d’appel complémentaire).</w:t>
      </w:r>
    </w:p>
    <w:p>
      <w:r>
        <w:t>- 11 - Mal fondé, le moyen doit être rejeté.</w:t>
      </w:r>
    </w:p>
    <w:p>
      <w:r>
        <w:rPr>
          <w:b/>
        </w:rPr>
        <w:t>E. 5</w:t>
      </w:r>
    </w:p>
    <w:p>
      <w:r>
        <w:t>novembre au 4 décembre 2018, alors qu’ils effectuaient des repérages dans un quartier de villas à [...] en vue d'y commettre des cambriolages, tous deux ayant été notamment vus se dissimuler dans des buissons. Les investigations de la police ont également permis la découverte du logement des deux comparses aux [...], à savoir un appartement qui avait été loué par l’appelant pour la période du 5 novembre au 3 décembre 2018. Cinq autres locations des mêmes locaux d'un mois ou de quelques jours avaient par ailleurs été effectuées par T.________ entre 2016 et 2018. Le jeudi 8 novembre 2018, les deux hommes ont été suivis et surveillés par la police alors qu'ils se déplaçaient en voiture à […] dans le quartier où se trouvait l’appartement de la plaignante W.________, victime d’un cambriolage le même jour. Plus tard dans l’après-midi, la voiture occupée par les deux hommes a été repérée dans un quartier d’habitations à [...] et notamment à proximité du domicile d’R.________ et de G.________, qui a également été cambriolé. T.________ et O.________ ont été interpellés ensemble peu après. Dans leur voiture, des objets provenant des deux vols précités ainsi qu’une importante panoplie d’outils permettant de commettre des cambriolages ont été découverts. O.________ a admis avoir commis ces deux cambriolages. S’agissant du second, il a indiqué que T.________ l’avait aidé à porter des sacs lorsqu’il était ressorti de la maison et à les charger dans la voiture. Enfin, les déclarations de T.________ pour tenter de se disculper ne sont pas crédibles. Il a d’abord nié être déjà venu en Suisse avant d’être contraint d’admettre le contraire une fois confronté aux résultats des investigations policières. Malgré les preuves, il a également nié avoir loué un appartement aux [...], en soutenant qu’il ne savait pas qu’il l’avait fait et qu’il s’était contenté d’envoyer de l’argent</w:t>
      </w:r>
    </w:p>
    <w:p>
      <w:r>
        <w:t>- 15 - (1'450 fr.) à un ami de O.________ à la demande de ce dernier sans savoir pour quelle raison. Il a également donné des explications contradictoires quant à sa présence en Suisse, indiquant d’abord qu’il était venu pour trouver un emploi sur un chantier puis finalement qu’il avait été invité par O.________ pour des vacances. Au vu de l’ensemble des éléments qui précède, la participation de l’appelant aux cambriolages en question ne fait pas l’ombre d’un doute. Quant à son rôle de guetteur, il résulte des déclarations de O.________ lui-même : « je lui ai dit : "on y va". Nous nous sommes rendus jusqu’à la maison. J’ai sonné à la porte. T.________ s’était précédemment arrêté dans un coin de la maison. N’ayant aucune réponse, j’ai dit à T.________ de rester où il se trouvait. Pendant ce temps je suis entré dans la maison en cassant la porte » (PV aud. 7, D 8 p. 6). La commission de ces cambriolages en Suisse nécessitait de trouver un moyen de déplacement et un logement servant de base arrière, d’effectuer des repérages, de se procurer un outillage particulier et enfin d’assurer la sécurité des coéquipiers en prévoyant une surveillance du site du cambriolage afin d’accélérer leur fuite en cas d’alarme. L’appelant s’est chargé de trouver un lieu de séjour en louant un appartement aux [...] et O.________ de louer un véhicule aux plaques d’immatriculation vaudoises, plus discrètes que des plaques étrangères. Il s’agit manifestement d’une entreprise commune comportant des aspects minutieusement organisés depuis l’étranger. Au vu de l'intensité de son implication, cette association fait du prévenu un coauteur et non un simple complice. Partant, la condamnation de l’appelant pour vol, dommages à la propriété et violation de domicile, qualification juridiques qui n’ont pas été remises en question, doit être confirmée.</w:t>
      </w:r>
    </w:p>
    <w:p>
      <w:r>
        <w:rPr>
          <w:b/>
        </w:rPr>
        <w:t>E. 5.1</w:t>
      </w:r>
    </w:p>
    <w:p>
      <w:r>
        <w:t>L'appelant conteste sa condamnation en invoquant une constatation arbitraire des faits, une violation des art. 139, 144 et 186 CP (Code pénal suisse du 21 décembre 1937 ; RS 311.0) ainsi qu’une violation du principe de la présomption d’innocence. Soutenant qu’il aurait été mis hors de cause par O.________ et qu’il serait avéré que celui-ci aurait agi seul dans d’autres cas, T.________ affirme qu’il n’aurait fait qu’attendre son ami et porter des objets dans la voiture sans savoir qu’ils provenaient d’un vol. Le dossier ne contiendrait par ailleurs aucune preuve à son encontre, en particulier d’indice tendant à démontrer qu’il aurait fait le guet. Enfin, pour autant qu’il soit avéré, le fait qu’il soit prétendument issu d’une « ethnie d’origine lituanienne » connue pour commettre des cambriolages ne constituerait nullement un élément probant.</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w:t>
      </w:r>
    </w:p>
    <w:p>
      <w:r>
        <w:t>- 12 -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t>- 13 -</w:t>
      </w:r>
    </w:p>
    <w:p>
      <w:r>
        <w:rPr>
          <w:b/>
        </w:rPr>
        <w:t>E. 5.2.2</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 Selon l’art. 144 CP, celui qui aura endommagé, détruit ou mis hors d’usage une chose appartenant à autrui ou frappée d’un droit d’usage ou d’usufruit au bénéfice d’autrui sera, sur plainte, puni d’une peine privative de liberté de trois ans au plus ou d’une peine pécuniaire.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w:t>
      </w:r>
    </w:p>
    <w:p>
      <w:r>
        <w:t>- 14 - participant non pas secondaire, mais principal. La jurisprudence exige même que le coauteur ait une certaine maîtrise des opérations et que son rôle soit plus ou moins indispensable (ATF 135 IV 152 consid. 2.3.1 ; ATF 130 IV 58 consid. 9.2.1 ; TF 6B_92/2020 du 7 avril 2020 consid. 1.1.2).</w:t>
      </w:r>
    </w:p>
    <w:p>
      <w:r>
        <w:rPr>
          <w:b/>
        </w:rPr>
        <w:t>E. 5.3</w:t>
      </w:r>
    </w:p>
    <w:p>
      <w:r>
        <w:t>En l’espèce, il résulte de la surveillance et des observations de la police que l’appelant et O.________ ont été vus le mercredi 7 novembre 2018, en début de soirée, occupant une voiture VW Polo immatriculée dans le canton de Vaud et louée par O.________ pour la période du</w:t>
      </w:r>
    </w:p>
    <w:p>
      <w:r>
        <w:rPr>
          <w:b/>
        </w:rPr>
        <w:t>E. 6</w:t>
      </w:r>
    </w:p>
    <w:p>
      <w:r>
        <w:t>L'appelant ne conteste la peine prononcée à son encontre qu'en lien avec les moyens tendant à obtenir son acquittement. Celle-ci doit être examinée d’office.</w:t>
      </w:r>
    </w:p>
    <w:p>
      <w:r>
        <w:rPr>
          <w:b/>
        </w:rPr>
        <w:t>E. 6.1</w:t>
      </w:r>
    </w:p>
    <w:p>
      <w:r>
        <w:t>- 16 -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- 17 -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6.2</w:t>
      </w:r>
    </w:p>
    <w:p>
      <w:r>
        <w:t>En l’espèce, la culpabilité de l’appelant est importante s'agissant de délinquance patrimoniale professionnelle et internationale obéissant à un mobile crapuleux. A l’instar du premier juge, on ne distingue aucun élément à décharge, si ce n’est la situation financière précaire du prévenu. La peine privative de liberté comme genre de peine s'impose pour chacune des infractions qui lui sont reprochées, le professionnalisme manifesté et l'attitude de déni total exprimée fondant une indispensable prévention spéciale. Le premier vol doit être puni d’une peine privative de liberté de 3 mois. Le second commande une augmentation de 3 mois, les deux violations de domicile, une majoration de 15 jours chacune, et les dommages à la propriété de même, de sorte que l’appelant aurait dû être condamné à une peine privative de liberté de</w:t>
      </w:r>
    </w:p>
    <w:p>
      <w:r>
        <w:rPr>
          <w:b/>
        </w:rPr>
        <w:t>E. 8</w:t>
      </w:r>
    </w:p>
    <w:p>
      <w:r>
        <w:t>L’appelant conclut à l’octroi d'une indemnité d’un montant de 24'000 fr. en raison de la détention provisoire qu’il a subie du 9 novembre 2018 au 7 mars 2019 ainsi que d’une indemnité de 1'200 fr. en raison de l’illicéité de ses conditions de détention du 8 novembre au 21 novembre 2018. Dans la mesure où sa condamnation a été confirmée, il n'y a pas de place pour une quelconque indemnité au sens de l’art. 429 CPP.</w:t>
      </w:r>
    </w:p>
    <w:p>
      <w:r>
        <w:rPr>
          <w:b/>
        </w:rPr>
        <w:t>E. 9</w:t>
      </w:r>
    </w:p>
    <w:p>
      <w:r>
        <w:t>L’appelant requiert enfin que les frais de la cause soient entièrement laissés à la charge de l'Etat. Cette conclusion ne repose que sur la prémisse de l’admission de l’appel. Elle doit par conséquent être rejetée.</w:t>
      </w:r>
    </w:p>
    <w:p>
      <w:r>
        <w:rPr>
          <w:b/>
        </w:rPr>
        <w:t>E. 10</w:t>
      </w:r>
    </w:p>
    <w:p>
      <w:r>
        <w:t>En définitive, l’appel de T.________ doit être rejeté et le dispositif du jugement entrepris intégralement confirmé. Il n’y a pas lieu de s’écarter de la liste des opérations produite par Me Stephen Gintzburger, défenseur d’office du prévenu, qui fait état de 6.375 heures d’activité.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TVA en sus. L’indemnité de défenseur d’office de Me Stephen Gintzburger pour la procédure d’appel est par conséquent fixée à 1’260 fr. 55 (1’147 fr. 50 [honoraires] + 22 fr. 95 [débours] + 90 fr. 10 [TVA]). Vu l'issue de la cause, les frais de la procédure d'appel, par 3'240 fr. 55, constitués en l’espèce de l'émolument de jugement, par 1’980 fr. (art. 21 al. 1 et 2 TFIP), ainsi que de l’indemnité allouée au défenseur d’office, par 1’260 fr. 55, seront mis à la charge de T.________, qui succombe (art. 428 al. 1 CPP).</w:t>
      </w:r>
    </w:p>
    <w:p>
      <w:r>
        <w:t>- 20 - T.________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