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PE19.003922 vom 18. März 2020</w:t>
      </w:r>
    </w:p>
    <w:p>
      <w:r>
        <w:t>VD Tribunal cantonal, 2020-03-18, FR</w:t>
      </w:r>
    </w:p>
    <w:p>
      <w:r>
        <w:rPr>
          <w:b/>
        </w:rPr>
        <w:t xml:space="preserve">Quelle: </w:t>
      </w:r>
      <w:r>
        <w:t>https://mcp.opencaselaw.ch/entscheid/vd_gerichte_PE19.003922</w:t>
      </w:r>
    </w:p>
    <w:p>
      <w:r>
        <w:t>FR: VD_GERICHTE PE19.003922 du 18 mars 2020</w:t>
      </w:r>
    </w:p>
    <w:p>
      <w:r>
        <w:t>IT: VD_GERICHTE PE19.003922 del 18 marzo 2020</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[Code de procédure pénale du 5 octobre 2007; 312.0]), déclare l'opposition irrecevable, par exemple pour cause de tardiveté, est susceptible de recours selon les art. 393 ss CPP (Gilliéron/Killias, in : Jeanneret/Kuhn/Perrier Depeursinge [éd.], Commentaire romand, Code de procédure pénale suisse, 2e éd., Bâle 2019, n. 5 ad art. 356 CPP; Riklin, in: Niggli/Heer/Wiprächtiger [éd.], Basler Kommentar, Schweizerische Strafprozessordnung, Jugendstrafprozessordnung, 2e éd., Bâle 2014, n. 2 ad art. 356 CPP; CREP 17 septembre 2019/751 ; CREP 4 juillet 2018/510 et les réf. cit.). Le recours doit être adressé par écrit, dans un délai de dix jours dès la notification de la décision attaquée (art. 384 let. b CPP), à</w:t>
      </w:r>
    </w:p>
    <w:p>
      <w:r>
        <w:t>- 4 -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Interjeté en temps utile devant l’autorité compétente par le prévenu qui a qualité pour recourir (art. 382 al. 1 CPP) et dans les formes prescrites (art. 385 al. 1 CPP), le recours de R.________ est recevable.</w:t>
      </w:r>
    </w:p>
    <w:p>
      <w:r>
        <w:rPr>
          <w:b/>
        </w:rPr>
        <w:t>E. 2.1.1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Le délai de recours de dix jours – qui ne peut pas être prolongé (art. 89 al. 1 CPP) – commence à courir le jour qui suit la notification de l’ordonnance entreprise (art. 90 al. 1 et 384 let. b CPP ; Calame, in : Kuhn/Jeanneret [éd.], Commentaire romand, Code de procédure pénale suisse, Bâle 2011, n. 3 ad art. 384 CPP). Le recours écrit doit être remis au plus tard le dernier jour du délai à l’autorité pénale, à la Poste suisse, à une représentation consulaire ou diplomatique suisse ou, s’agissant de personnes détenues, à la direction de l’établissement carcéral (art. 91 al. 2 CPP).</w:t>
      </w:r>
    </w:p>
    <w:p>
      <w:r>
        <w:t>- 5 -</w:t>
      </w:r>
    </w:p>
    <w:p>
      <w:r>
        <w:rPr>
          <w:b/>
        </w:rPr>
        <w:t>E. 2.1.2</w:t>
      </w:r>
    </w:p>
    <w:p>
      <w:r>
        <w:t>Les autorités pénales notifient leurs prononcés par lettre signature ou par tout autre mode de communication impliquant un accusé de réception, notamment par l'entremise de la police (art. 85 al. 2 CPP). Selon l'art. 85 al. 4 let. a CPP, un prononcé est réputé notifié lorsque, expédié par lettre signature, il n'a pas été retiré dans les sept jours à compter de la tentative infructueuse de remise du pli, si la personne concernée devait s'attendre à une telle remise. Cette disposition reprend les principes développés par la jurisprudence et qui prévalaient avant l'entrée en vigueur du code de procédure pénale suisse le 1er janvier 2011 (TF 6B_934/2018 du 9 novembre 2018 consid. 2.1 ; cf. ATF 130 III 396 consid. 1.2.3).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TF 6B_314/2012 du 18 février 2013 consid. 1.3.1). La personne concernée doit s'attendre à la remise d'un prononcé lorsqu'elle est au courant qu'elle fait l'objet d'une instruction pénale au sens de l'art. 309 CPP (TF 6B_934/2018 du 9 novembre 2018 consid. 2.1 et les réf. cit.).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(TF 6B_934/2018 du 9 novembre 2018 consid. 2.1 et les réf. cit.).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w:t>
      </w:r>
    </w:p>
    <w:p>
      <w:r>
        <w:t>- 6 -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 ATF 139 IV 228 consid. 1.1 ; TF 6B_936/2018 du 4 décembre 2018 consid. 1.1).</w:t>
      </w:r>
    </w:p>
    <w:p>
      <w:r>
        <w:rPr>
          <w:b/>
        </w:rPr>
        <w:t>E. 2.1.3</w:t>
      </w:r>
    </w:p>
    <w:p>
      <w:r>
        <w:t>Il existe une présomption de fait – réfragable – selon laquelle, pour les envois recommandés, l'employé postal a correctement inséré l'avis de retrait dans la boîte aux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case postale au jour attesté par le facteur, la remise est censée être intervenue en ces lieu et date (ATF 142 IV 201 consid. 2.3 ; TF 6B_233/2017 du 12 décembre 2017 consid. 2.3.2 ; TF 6B_314/2012 du 18 février 2013 consid. 1.4.1 ; TF 6B_281/2012 du 9 octobre 2012 consid. 2.1 et les réf. citées). Le délai de garde de sept jours commence alors à courir et, à son terme, la notification est réputée avoir lieu (fiction), avec les conséquences procédurales que cela implique. Du fait notamment que l'absence de remise constitue un fait négatif, le destinataire est admis à démontrer, au degré de la vraisemblance prépondérante, que l'avis n'a pas été remis correctement dans sa boîte aux lettres. La simple éventualité qu'une erreur soit possible ne suffit pas. Il faut bien plutôt que le destinataire apporte des éléments concrets mettant en exergue l'existence d'une erreur. Savoir si la contre-preuve a été apportée ou non relève de l'appréciation des preuves (ATF 142 IV 201 consid. 2.3 ; TF 6B_233/2017 du 12 décembre 2017 consid. 2.3.2).</w:t>
      </w:r>
    </w:p>
    <w:p>
      <w:r>
        <w:rPr>
          <w:b/>
        </w:rPr>
        <w:t>E. 2.2</w:t>
      </w:r>
    </w:p>
    <w:p>
      <w:r>
        <w:t>En l’espèce, R.________ fait valoir que l’ordonnance pénale du 29 novembre 2020 a été envoyée une première fois à son ancienne adresse à [...], qu’il avait fait un changement d’adresse auprès de la Poste à [...], que lorsque l’ordonnance lui a été renvoyée le 6 janvier 2020 à sa nouvelle adresse à [...], il n’aurait pas reçu d’avis de retrait de la Poste, que s’il avait reçu un tel avis, il serait allé retirer son pli car il savait</w:t>
      </w:r>
    </w:p>
    <w:p>
      <w:r>
        <w:t>- 7 - qu’une procédure pénale avait été ouverte contre lui et qu’il aurait pris connaissance de cette ordonnance pénale vers le 15 février 2020 seulement. Les griefs invoqués par le recourant, qui ne remet pas en cause les faits retenus en relation avec la tardiveté de son opposition, sont infondés. En effet, la police a procédé à l’audition de R.________ le 31 janvier 2019. A cette occasion, il a été dûment informé de ses droits et obligations de prévenu et a apposé sa signature sur le formulaire idoine qui l’informait de l’existence d’une instruction pénale ouverte à son encontre (PV aud. 2). Le recourant devait donc s’attendre à recevoir des actes judiciaires en lien avec cette enquête, ce d’autant qu’il avait déjà été condamné à une reprise en 2017 par le Ministère public de l’arrondissement de l’Est vaudois. Il lui incombait dès lors de relever son courrier ou de prendre les mesures appropriées pour que les décisions relatives à la procédure en cours, en particulier l’ordonnance pénale du 29 novembre 2019, lui parviennent ou pour qu’un représentant désigné par lui en prenne connaissance. Cette ordonnance pénale, envoyée tout d’abord à l’adresse à [...] communiquée initialement par le recourant et revenue avec la mention « Non réclamé », lui a été envoyée une nouvelle fois le 6 janvier 2020 sous pli recommandé avec accusé de réception à sa nouvelle adresse à [...], mais malgré l’avis de retrait remis dans la boîte aux lettres de son destinataire, elle est revenue avec la mention « Non réclamé ». Le recourant ne fait en outre valoir aucun élément concret qui permettrait de renverser la présomption de distribution de l’avis de retrait. L’ordonnance pénale du 29 novembre 2019 lui a donc été notifiée valablement et la notification est réputée être intervenue à l’échéance du délai postal de garde, soit le 14 janvier 2020. Partant, le délai de dix jours pour former opposition à l’ordonnance pénale du 29 novembre 2019 a commencé à courir le 15 janvier 2020 pour arriver à échéance le 24 janvier 2020 (cf. art. 90 al. 1 CPP). Formée le 17 février 2020, l’opposition de R.________ est manifestement tardive. C’est donc à bon droit que le premier juge l’a déclarée irrecevable.</w:t>
      </w:r>
    </w:p>
    <w:p>
      <w:r>
        <w:t>- 8 -</w:t>
      </w:r>
    </w:p>
    <w:p>
      <w:r>
        <w:rPr>
          <w:b/>
        </w:rPr>
        <w:t>E. 3</w:t>
      </w:r>
    </w:p>
    <w:p>
      <w:r>
        <w:t>En définitive, le recours interjeté par R.________, manifestement mal fondé, doit être rejeté sans échange d’écritures (art. 390 al. 2 CPP) et le prononcé du 3 mars 2020 confirmé. Les frais de la procédure de recours, constitués en l’espèce du seul émolument d'arrêt, par 770 fr. (art. 20 al. 1 TFIP [Tarif des frais de procédure et indemnités en matière pénale du 28 septembre 2010, BLV 312.03.1]), seront mis à la charge du recourant, qui succombe (art. 428 al. 1 CPP). Par ces motifs, la Chambre des recours pénale prononce : I. Le recours est rejeté. II. Le prononcé du 3 mars 2020 est confirmé. III. Les frais d’arrêt, par 770 fr. (sept cent septante francs), sont mis à la charge de R.________. IV. L’arrêt est exécutoire. Le président : La greffière : Du Le présent arrêt, dont la rédaction a été approuvée à huis clos, est notifié, par l'envoi d'une copie complète, à : - M. R.________, - Ministère public central, et communiqué à : - Mme la Présidente du Tribunal de police de l’arrondissement de l’Est vaudois, - Mme la Procureure de l’arrondissement de l’Est vaudois,</w:t>
      </w:r>
    </w:p>
    <w:p>
      <w:r>
        <w:t>- 9 - - Mme H.________,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