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PE19.003897 vom 23. März 2021</w:t>
      </w:r>
    </w:p>
    <w:p>
      <w:r>
        <w:t>VD Tribunal cantonal, 2021-03-23, FR</w:t>
      </w:r>
    </w:p>
    <w:p>
      <w:r>
        <w:rPr>
          <w:b/>
        </w:rPr>
        <w:t xml:space="preserve">Quelle: </w:t>
      </w:r>
      <w:r>
        <w:t>https://mcp.opencaselaw.ch/entscheid/vd_gerichte_PE19.003897</w:t>
      </w:r>
    </w:p>
    <w:p>
      <w:r>
        <w:t>FR: VD_GERICHTE PE19.003897 du 23 mars 2021</w:t>
      </w:r>
    </w:p>
    <w:p>
      <w:r>
        <w:t>IT: VD_GERICHTE PE19.003897 del 23 marzo 2021</w:t>
      </w:r>
    </w:p>
    <w:p>
      <w:pPr>
        <w:pStyle w:val="Heading2"/>
      </w:pPr>
      <w:r>
        <w:t>Erwägungen</w:t>
      </w:r>
    </w:p>
    <w:p>
      <w:r>
        <w:rPr>
          <w:b/>
        </w:rPr>
        <w:t>E. 1</w:t>
      </w:r>
    </w:p>
    <w:p>
      <w:r>
        <w:t>A Bussigny, [...], entre 2015 et le 28 mai 2018, R.________, en sa qualité d’associé unique de L.________sàrl, n’a pas fait établir de comptabilité de la société. Cette dernière a été déclarée en faillite le 28 mai 2018. L’Office des faillites de l’arrondissement de Lausanne a dénoncé les faits le 15 novembre 2019.</w:t>
      </w:r>
    </w:p>
    <w:p>
      <w:r>
        <w:t>- 12 -</w:t>
      </w:r>
    </w:p>
    <w:p>
      <w:r>
        <w:rPr>
          <w:b/>
        </w:rPr>
        <w:t>E. 1.2</w:t>
      </w:r>
    </w:p>
    <w:p>
      <w:r>
        <w:t>;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t>- 14 - 3. L’appelant conteste uniquement s’être rendu coupable des faits lui valant sa condamnation pour les infractions de contrainte sexuelle, désagréments causés par la confrontation à un acte d’ordre sexuel et contrainte faisant l’objet des chiffres 2 et 3 ci-dessus. Il soutient en substance que les faits dont l’accuse K.________ ne sont pas avérés, et que cette dernière porte de fausses accusations contre lui en raison de l’influence de U.________, avec lequel elle aurait entretenu une relation. Ce dernier, qui aurait disparu, aurait voulu lui nuire afin de reprendre son agence et aurait du reste échafaudé une machination similaire dans le canton de Genève. Enfin, il conteste être un prédateur et se dit généreux et honnête. Il explique ses incohérences par la façon dont on l’aurait traité en cours de procédure.</w:t>
      </w:r>
    </w:p>
    <w:p>
      <w:r>
        <w:rPr>
          <w:b/>
        </w:rPr>
        <w:t>E. 2</w:t>
      </w:r>
    </w:p>
    <w:p>
      <w:r>
        <w:t>A Lausanne, [...], le 19 février 2019, vers 14h00, alors que K.________ se trouvait dans le bureau de son employeur, R.________, pour discuter d’un contrat d’assurance, ce dernier a soudain commencé à la tutoyer et à lui parler de ses pratiques et expériences sexuelles. Cette discussion l’a sidérée et elle n’a pas su quoi dire. Au moment où elle s’est levée pour quitter le bureau, R.________ s’est levé également et est venu se mettre face à elle. Il lui a touché la poitrine par-dessus les habits avec sa main gauche. Il a mis sa main droite dans sa culotte et a introduit un doigt dans son vagin en lui disant « je savais bien que je te faisais de l'effet, c'est tout mouillé ». Alors que K.________ était tétanisée par ce qui était en train de se passer, R.________ a ajouté « Ha c'est gonflé ce que je te fais, quelle chatte incroyable ». Il lui a alors ordonné de se rendre aux toilettes et de prendre des photos de sa poitrine et de son sexe. Reprenant ses esprits après quelques instants, K.________ est sortie du bureau de R.________ et s’est rendue dans un autre bureau. K.________ a déposé plainte le 21 février 2019 et s’est constituée partie plaignante demanderesse au pénal et au civil.</w:t>
      </w:r>
    </w:p>
    <w:p>
      <w:r>
        <w:rPr>
          <w:b/>
        </w:rPr>
        <w:t>E. 3</w:t>
      </w:r>
    </w:p>
    <w:p>
      <w:r>
        <w:t>A Renens, [...], le 7 mars 2019, vers 18h, R.________ a constaté que K.________ s’était parquée sur sa place de parc et s’est garé derrière elle pour bloquer son véhicule et ainsi l’empêcher de partir pendant à tout le moins 30 minutes. Voyant que R.________ ne la laissait plus partir, K.________ a pris peur et a décidé de rentrer sans sa voiture. Un ami la lui a ramenée par la suite. K.________ a déposé plainte le 25 avril 2019 et s’est constituée partie plaignante demanderesse au pénal et au civil.</w:t>
      </w:r>
    </w:p>
    <w:p>
      <w:r>
        <w:rPr>
          <w:b/>
        </w:rPr>
        <w:t>E. 3.1</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w:t>
      </w:r>
    </w:p>
    <w:p>
      <w:r>
        <w:t>- 15 - 138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éd., Bâle 2019 (CR CPP), n. e 34 ad art. 10 CPP; Kistler Vianin, CR CPP,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Les déclarations de la victime constituent un élément de preuve. Le juge doit, dans l'évaluation globale de l'ensemble des éléments probatoires rassemblés au dossier, les apprécier librement (TF</w:t>
      </w:r>
    </w:p>
    <w:p>
      <w:r>
        <w:t>- 16 - 6B_1283/2018 du 14 février 2019 consid. 1.3; TF 6B_1306/2017 du 17 mai 218 consid. 2.1.1; TF 6B_942/2017 du</w:t>
      </w:r>
    </w:p>
    <w:p>
      <w:r>
        <w:rPr>
          <w:b/>
        </w:rPr>
        <w:t>E. 3.2</w:t>
      </w:r>
    </w:p>
    <w:p>
      <w:r>
        <w:t>En l’espèce, les déclarations et dénégations de R.________ sont dépourvues de toute crédibilité. Comme l’a à juste titre relevé le premier juge, le prévenu a multiplié les contradictions et ses déclarations ne sont pratiquement jamais corroborées par les témoins. Il a en effet varié sur la question de savoir si la porte de son bureau était ouverte ou fermée lorsqu’il recevait des collaborateurs (cf. PV aud. 2, p. 3 et 6, puis PV aud. 6 p. 2, puis jugt. p. 12) et si des personnes étaient entrées dans son bureau lors de son entretien avec K.________ (cf. PV. aud. 2, p. 8, puis jugt. p. 12). Il a également expressément reconnu lors de sa première audition que la discussion avec cette dernière avait porté sur le sexe (cf. PV aud. 2, R. 18 p. 7 et R. 19 p. 8), alors qu’aux débats il a contesté que les échanges soient allés plus loin que le fait qu’ils étaient « open » (PV aud. p. 13). Il s’est également contredit sur le fait d’avoir été attiré par la plaignante et ses déclarations sur ce point ne sont pas corroborées par les témoins entendus, pas plus que celles consistant à décrire la plaignante comme une femme provocante et portée sur les échanges crus (cf. jugt. pp. 34- 35). Il s’est encore contredit sur la question de savoir qui avait insisté pour engager la plaignante au sein de la société (cf. jugt. p. 18). L’appréciation faite par le premier juge de la crédibilité de l’appelant – qui a au demeurant fait mauvaise impression à l’audience d’appel et qui est décrit</w:t>
      </w:r>
    </w:p>
    <w:p>
      <w:r>
        <w:t>- 17 - comme un menteur patenté par les témoins (cf. notamment PV aud. 3, R.</w:t>
      </w:r>
    </w:p>
    <w:p>
      <w:r>
        <w:rPr>
          <w:b/>
        </w:rPr>
        <w:t>E. 3.3</w:t>
      </w:r>
    </w:p>
    <w:p>
      <w:r>
        <w:t>En ce qui concerne l’infraction de contrainte en relation avec le chiffre 3 ci-dessus, l’appelant a fait plaider qu’il n’avait pas agi avec conscience et volonté de bloquer le véhicule de la plaignante. Ce grief ne peut qu’être rejeté, l’intéressé ayant admis aux débats qu’il connaissait la voiture de la plaignante, qu’il avait vu que celle parquée sur sa place de</w:t>
      </w:r>
    </w:p>
    <w:p>
      <w:r>
        <w:t>- 19 - parc ressemblait à celle-ci et encore qu’il avait vu K.________ monter dans l’appartement avec des commissions (jugt. p. 14). En se parquant derrière la plaignante durant plusieurs heures, sur la place de parc de l’appartement qu’il sous-louait à des tiers, R.________ a entravé K.________ dans sa liberté d’action avec conscience et volonté, de sorte que sa condamnation pour contrainte doit également être confirmée. 4. Les peines prononcées à l'encontre de R.________ ne sont contestées que dans la mesure où il a conclu à son acquittement des chefs d’accusation de contrainte, contrainte sexuelle et confrontation à un acte d’ordre sexuel. Ces peines ont été fixées par le premier juge conformément aux principes applicables (art. 40, 41, 42, 46 al. 1, 47, 49 al. 1 et 106 CP), compte tenu de sa culpabilité et de sa situation personnelle. Les éléments retenus en page 38 du jugement sont pertinents et il peut y être renvoyé (art. 82 al. 4 CPP), ceux-ci n’étant pas contestés. Compte tenu de la gravité des faits et de antécédents, une peine privative de liberté s’impose pour chaque infraction punissable de ce genre de peine. L’infraction la plus grave, soit la contrainte sexuelle, doit être sanctionnée de 4 mois, augmentés par l’effet du concours d’un mois pour la contrainte, de 15 jours pour la violation de l’obligation de tenir une comptabilité et de 15 jours pour l’infraction à la LCR, de sorte que la peine privative de liberté de 6 mois avec sursis pendant 3 ans infligée par le premier juge est adéquate. L’amende de 500 fr. réprimant la contravention a en outre été fixée compte tenu de la situation financière de l’appelant. Enfin, c’est à juste titre que le sursis assortissant la peine prononcée par le Ministère public du canton de Fribourg a été révoqué, compte tenu de la récidive en matière économique. 5. Vu la confirmation de la condamnation de l’appelant, c’est à juste titre que le premier juge a mis l’entier des frais de procédure à la charge de R.________ conformément à l’art. 426 al. 1 CPP, et qu’il a alloué</w:t>
      </w:r>
    </w:p>
    <w:p>
      <w:r>
        <w:t>- 20 - à sa charge une pleine indemnité au sens de l’art. 433 CPP à la plaignante pour ses frais de défense nécessaires, laquelle n’est pas contestée dans son montant. 6. Enfin, c’est également à juste titre que le premier juge a alloué à K.________ un montant de 3'500 fr. à titre de réparation morale, à la charge de R.________. Cette indemnité, dont la quotité n’est pas contestée, tient adéquatement compte de la gravité de l’atteinte subie et de ses conséquences sur la santé de la plaignante, dont on rappellera qu’elle souffre d’un état de stress post-traumatique et de crises d’angoisses se manifestant au travers de multiples symptômes (cf. P. 45/2), la handicapant encore à ce jour, y compris dans son travail (cf. jugt. pp. 20 s.).</w:t>
      </w:r>
    </w:p>
    <w:p>
      <w:r>
        <w:rPr>
          <w:b/>
        </w:rPr>
        <w:t>E. 4</w:t>
      </w:r>
    </w:p>
    <w:p>
      <w:r>
        <w:t>A Bardonnex, [...], le 31 octobre 2019, à 16h20, R.________ a été contrôlé par le Corps des gardes-frontière au volant du véhicule immatriculé [...], alors que ce dernier n’était pas couvert par une assurance-responsabilité civile.</w:t>
      </w:r>
    </w:p>
    <w:p>
      <w:r>
        <w:t>- 13 -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R.________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5</w:t>
      </w:r>
    </w:p>
    <w:p>
      <w:r>
        <w:t>mars 2018 consid. 2.1.2; 6B_614/2012 du 15 février 2013 consid. 3.2.5; TF 6B_716/2010 du 15 novembre 2010 consid. 1.3),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TF 6B_1283/2018 du 14 février 2019 consid. 1.3).</w:t>
      </w:r>
    </w:p>
    <w:p>
      <w:r>
        <w:rPr>
          <w:b/>
        </w:rPr>
        <w:t>E. 7</w:t>
      </w:r>
    </w:p>
    <w:p>
      <w:r>
        <w:t>Au vu de ce qui précède, l’appel doit être rejeté et le jugement entrepris confirmé. Vu l’issue de la cause, les frais de la procédure d'appel, constitués des émoluments de jugement et d’audience, par 2'020 fr. (art. 21 al. 1 et 2 TFIP [tarif des frais de procédure et indemnités en matière pénale du 28 septembre 2010 ; BLV 312.03.1]), seront mis à la charge de R.________, qui succombe (art. 428 al. 1 CPP). K.________, qui obtient gain de cause et qui a procédé avec l’assistance d’un avocat de choix, a droit à une indemnité pour les dépenses occasionnées par la procédure d’appel (art. 433 al. 1 let. a CPP, applicable par renvoi de l’art. 436 al. 1 CPP), à la charge de l’appelant. La liste des opérations produite par Me Coralie Germond, qui fait état de 7 heures et 50 minutes d’activité, ne prête pas le flanc à la critique, si ce n’est que le temps consacré à l’audience, surestimé, sera réduit d’une heure. Cela étant, le tarif horaire appliqué, par 350 fr., ne se justifie pas par la complexité de la cause. Partant, au tarif horaire de 250 fr. (art. 26a</w:t>
      </w:r>
    </w:p>
    <w:p>
      <w:r>
        <w:t>- 21 - al. 3 TFIP), le défraiement de l’avocate s’élève à 1'708 fr. 35 fr., auquel il faut ajouter 2 % pour les débours (art. 3bis al. 1 RAJ [règlement sur l'assistance judiciaire en matière civile du 7 décembre 2010 ; BLV 211.02.3] par renvoi de l'art. 26a al. 6 TFIP), par 34 fr. 15, et 7,7 % pour la TVA sur le tout, par 134 fr. 15, de sorte que l'indemnité se monte au total à 1’876 fr. 70. La Cour d’appel pénale appliquant les articles 34, 40, 42 al. 1, 44, 46 al. 1, 47, 49 al. 1, 50, 106, 166, 181, 189 al. 1 et 198 CP ; 96 al. 2 LCR et 398 ss CPP, prononce : I. L’appel est rejeté. II. Le jugement rendu le 23 mars 2021 par le Tribunal de police de l’arrondissement de Lausanne est confirmé selon le dispositif suivant : "I. libère R.________ du chef d’accusation d’inobservation par le débiteur des règles de la procédure de poursuite pour dettes ou de faillite; II. constate que R.________ s’est rendu coupable de violation de l’obligation de tenir une comptabilité, contrainte, contrainte sexuelle, désagréments causés par la confrontation à un acte d’ordre sexuel et circulation sans assurance-responsabilité civile; III. condamne R.________ à une peine privative de liberté de 6 (six) mois; IV. condamne R.________ à une amende de 500 fr. (cinq cents francs), convertible en 5 (cinq) jours de peine privative de liberté de substitution en cas de non-paiement fautif; V. suspend l’exécution de la peine privative de liberté fixée sous chiffre III ci-dessus et fixe la durée du délai d’épreuve à 3 (trois) ans;</w:t>
      </w:r>
    </w:p>
    <w:p>
      <w:r>
        <w:t>- 22 - VI. révoque le sursis octroyé le 10 juillet 2018 par le Ministère public du canton de Fribourg et ordonne l’exécution de la peine pécuniaire de 100 (cent) jours-amende à 70 fr. (septembre francs) le jour; VII. alloue à K.________ une indemnité pour tort moral de 3'500 fr. (trois mille cinq cents francs), à charge de R.________; VIII. alloue à la plaignante K.________ une indemnité pour les dépenses obligatoires occasionnées par la procédure fondée sur l’art. 433 CPP de 9'970 (neuf mille neuf cent septante francs), à charge de R.________; IX. ordonne le maintien au dossier à titre de pièces à conviction du DVD contenant les images de vidéosurveillance de la station [...] inventorié sous fiche no 25922; X. met les frais, par 6'802 fr., à la charge de R.________." III. Une indemnité pour les dépenses obligatoires occasionnées par la procédure d’appel d'un montant de 1'876 fr. 70, TVA et débours inclus, est allouée à K.________, à la charge de R.________. IV. Les frais d'appel, par 2'020 fr., sont mis à la charge de R.________. V. Le jugement motivé est exécutoire. La présidente : Le greffier :</w:t>
      </w:r>
    </w:p>
    <w:p>
      <w:r>
        <w:t>- 23 - Du Le jugement qui précède, dont le dispositif a été communiqué par écrit aux intéressés le 26 août 2021, est notifié, par l'envoi d'une copie complète, à : - Me Jean-David Pelot, avocat (pour R.________), - Me Coralie Germond, avocate (pour K.________), - Ministère public central, et communiqué à : - M. le Président du Tribunal de police de l'arrondissement de Lausanne, - M. le Procureur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