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PE19.003815 vom 23. September 2020</w:t>
      </w:r>
    </w:p>
    <w:p>
      <w:r>
        <w:t>VD Tribunal cantonal, 2020-09-23, FR</w:t>
      </w:r>
    </w:p>
    <w:p>
      <w:r>
        <w:rPr>
          <w:b/>
        </w:rPr>
        <w:t xml:space="preserve">Quelle: </w:t>
      </w:r>
      <w:r>
        <w:t>https://mcp.opencaselaw.ch/entscheid/vd_gerichte_PE19.003815</w:t>
      </w:r>
    </w:p>
    <w:p>
      <w:r>
        <w:t>FR: VD_GERICHTE PE19.003815 du 23 septembre 2020</w:t>
      </w:r>
    </w:p>
    <w:p>
      <w:r>
        <w:t>IT: VD_GERICHTE PE19.003815 del 23 settembre 2020</w:t>
      </w:r>
    </w:p>
    <w:p>
      <w:pPr>
        <w:pStyle w:val="Heading2"/>
      </w:pPr>
      <w:r>
        <w:t>Erwägungen</w:t>
      </w:r>
    </w:p>
    <w:p>
      <w:r>
        <w:rPr>
          <w:b/>
        </w:rPr>
        <w:t>E. 1</w:t>
      </w:r>
    </w:p>
    <w:p>
      <w:r>
        <w:t>Interjeté dans les formes et délais légaux (art. 385 et 399 CPP) par une partie qui a qualité pour recourir (art. 382 CPP) contre un jugement du tribunal de première instance ayant clos la procédure (art. 398 CPP), l'appel d’S.________ est recevable. S’agissant d’un appel dirigé contre une contravention, la procédure écrite est applicable (art. 406 al. 1 let. c CPP) et la cause ressort de la compétence d’un juge unique de la Cour d'appel pénale (art. 14 al. 3 LVCPP [Loi vaudoise d’introduction du Code de procédure pénale suisse du 19 mai 2009 ; BLV 312.01]).</w:t>
      </w:r>
    </w:p>
    <w:p>
      <w:r>
        <w:rPr>
          <w:b/>
        </w:rPr>
        <w:t>E. 2</w:t>
      </w:r>
    </w:p>
    <w:p>
      <w:r>
        <w:t>- 7 -</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En revanche, la juridiction d’appel peut revoir librement le droit (TF 6B_426/2019 du 31 juillet 2019 consid. 1.1 et réf. cit.).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réf. cit.).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144 I 170 consid. 7.3 et réf. cit., JdT 2019 I 50 ; ATF 143 IV 241 consid. 2.3.1, JdT 2017 IV 351 ; TF 2C_134/2020 du 7 août 2020 consid. 2).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in : Jeanneret/ Kuhn/Perrier Depeursinge [éd.], Commentaire romand, Code de procédure pénale suisse, 2e éd., Bâle 2019 [cité ci- après : CR-CPP], n. 28 ad art. 398 CPP).</w:t>
      </w:r>
    </w:p>
    <w:p>
      <w:r>
        <w:t>- 8 -</w:t>
      </w:r>
    </w:p>
    <w:p>
      <w:r>
        <w:rPr>
          <w:b/>
        </w:rPr>
        <w:t>E. 2.2</w:t>
      </w:r>
    </w:p>
    <w:p>
      <w:r>
        <w:t>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 ATF 144 IV 345 consid. 2.2.3.3 ; ATF 143 IV 500 consid. 1.1, JdT 2017 I 325).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w:t>
      </w:r>
    </w:p>
    <w:p>
      <w:r>
        <w:t>- 9 -</w:t>
      </w:r>
    </w:p>
    <w:p>
      <w:r>
        <w:rPr>
          <w:b/>
        </w:rPr>
        <w:t>E. 2.3</w:t>
      </w:r>
    </w:p>
    <w:p>
      <w:r>
        <w:t>En l'espèce, seule une contravention a été retenue par le Tribunal de police, de sorte que l'appel est restreint au sens de l’art. 398 al. 4 CPP.</w:t>
      </w:r>
    </w:p>
    <w:p>
      <w:r>
        <w:rPr>
          <w:b/>
        </w:rPr>
        <w:t>E. 3.1</w:t>
      </w:r>
    </w:p>
    <w:p>
      <w:r>
        <w:t>Comme elle l’a soutenu devant le premier juge, l’appelante invoque une violation de la maxime d’accusation, faute d’indication dans l’acte d’accusation des dates auxquelles la contravention aurait été commise. Elle fait valoir que l’acte d’accusation est incomplet, que l’ordonnance pénale du 20 janvier 2019 ne mentionne ni la date ni l’heure de la commission des infractions reprochées, qu’il incombait au Ministère public d’établir un acte d’accusation contenant une description précise des faits, que la Cour d’appel pénale ne pouvait pas se substituer au Ministère public et que le juge ne pouvait aller au-delà de l’acte d’accusation.</w:t>
      </w:r>
    </w:p>
    <w:p>
      <w:r>
        <w:rPr>
          <w:b/>
        </w:rPr>
        <w:t>E. 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w:t>
      </w:r>
    </w:p>
    <w:p>
      <w:r>
        <w:t>- 10 - d'autres termes, l'acte d'accusation doit contenir les faits qui, de l'avis du ministère public, correspondent à tous les éléments constitutifs de l'infraction reprochée au prévenu (ATF 143 IV 63 consid. 2.2 ; TF 6B_696/2019 du 24 septembre 2019 consid. 1.2.1 ; TF 6B_1019/2018 du 2 novembre 2018 consid. 1.1 ; TF 6B_665/2017 du 10 janvier 2018 consid. 1.1).</w:t>
      </w:r>
    </w:p>
    <w:p>
      <w:r>
        <w:rPr>
          <w:b/>
        </w:rPr>
        <w:t>E. 3.2.2</w:t>
      </w:r>
    </w:p>
    <w:p>
      <w:r>
        <w:t>L’acte d’accusation dressé par le ministère public désigne, le plus brièvement possible, mais avec précision, notamment la date et l'heure de la commission des actes reprochés au prévenu (art. 325 al. 1 let. f CPP). L’ordonnance pénale en matière de contraventions, tenant lieu – ensuite d’opposition du justiciable et de maintien par l’autorité préfectorale – d’acte d’accusation (art. 356 al. 1 2e phr. CPP ; Moreillon/Parein-Reymond, Petit commentaire du Code de procédure pénale, 2e éd., Bâle 2016, n. 2 ad art. 356 CPP), doit contenir une description des faits aussi précise que dans la rédaction d’un acte d’accusation (ATF 140 IV 188, JdT 2015 IV 65 consid. 1.5 et 1.6 ; Moreillon/Parein-Reymond, op. cit., n.4 ad art. 353 CPP). Ainsi, le déroulement concret des faits doit ressortir de l’ordonnance pénale elle- même et non d’éléments du dossier. A défaut de description suffisante des faits dans l’acte d’accusation, les conditions d’examen par un tribunal, qui est lié par l’état de fait décrit dans l’acte d’accusation (art. 350 al. 1 CPP), ne sont pas réunies (ATF 140 IV 188 précité ; CAPE 9 juillet 2018/283 consid. 3.2.2).</w:t>
      </w:r>
    </w:p>
    <w:p>
      <w:r>
        <w:rPr>
          <w:b/>
        </w:rPr>
        <w:t>E. 3.3</w:t>
      </w:r>
    </w:p>
    <w:p>
      <w:r>
        <w:t>Dans son jugement du 11 novembre 2019, le Président de la Cour d’appel pénale, se référant à la jurisprudence du Tribunal fédéral (TF 6B_665/2017 du 10 janvier 2018 consid. 1.1 ; TF 6B_275/2016 du 9 décembre 2016 consid. 2.1), a relevé que des imprécisions relatives au lieu ou à la date étaient sans portée dans la mesure où le prévenu ne pouvait avoir de doute sur le comportement qui lui était reproché. Il a ainsi constaté que, au vu du contenu de l’ordonnance pénale, il était reproché à l’appelante de ne pas avoir donné suite aux convocations du Service de l’emploi et d’avoir empêché ce service d’obtenir les documents et les</w:t>
      </w:r>
    </w:p>
    <w:p>
      <w:r>
        <w:t>- 11 - renseignements nécessaires à son contrôle, et que l’appelante connaissait parfaitement bien la période concernée par les faits litigieux. Ce grief ayant déjà été invoqué devant l’Autorité de céans qui l’a tranché dans le cadre de la même procédure, il est irrecevable. En effet, le premier juge était lié par les considérants du jugement rendu le 11 janvier 2019 par l’instance d’appel (art. 409 al. 3 CPP) qui avait écarté une violation de la maxime d’accusation. Si le nouveau jugement du tribunal de première instance peut faire l’objet d’un nouvel appel – comme c’est le cas en l’espèce –, la Cour d’appel ne peut revenir sur sa propre décision antérieure (Kistler Vianin, in : CR-CPP, n. 16 ad art. 409 CPP). De plus, l’appelante soutient à tort que, dans son jugement précédent, la Cour d’appel pénale aurait complété l’acte d’accusation, puisqu’elle n’a fait que constater que, par son contenu, l’acte d’accusation informait suffisamment la prévenue des faits qui lui étaient reprochés, compte tenu des points sur lesquels l’instruction préfectorale avait porté.</w:t>
      </w:r>
    </w:p>
    <w:p>
      <w:r>
        <w:rPr>
          <w:b/>
        </w:rPr>
        <w:t>E. 4.1</w:t>
      </w:r>
    </w:p>
    <w:p>
      <w:r>
        <w:t>L’appelante invoque également une violation de la maxime d’accusation en tant que l’ordonnance préfectorale l’accuse d’avoir commis la contravention à la loi sur le travail au noir en tant que responsable du Restaurant « [...]». Elle allègue que l’exploitation du Restaurant « [...]» incombait à la société L.________, et non à B.________, et que l’acte d’accusation est erroné sur ce point.</w:t>
      </w:r>
    </w:p>
    <w:p>
      <w:r>
        <w:rPr>
          <w:b/>
        </w:rPr>
        <w:t>E. 4.2</w:t>
      </w:r>
    </w:p>
    <w:p>
      <w:r>
        <w:t>Le premier juge indique que « en tant qu’unique administratrice de la société B.________, l’opposante avait l’obligation de s’assurer que le courrier adressé à cette personne morale ou transitant par elle lui parvienne malgré son séjour durable à la montagne » (jugement p. 13 in fine). L’appelante en infère que le jugement entrepris ne serait pas conforme à l’acte d’accusation, dès lors que la société B.________ n’a pas pour but social l’exploitation du Restaurant [...]». Or, en réalité, en usant des termes généraux de « responsable du Restaurant [...]», l’acte d’accusation ne précisait pas au travers de quelle structure ou de quelle forme juridique cette responsabilité s’exerçait, si bien qu’en imputant la faute pénale à l’appelante, qui détenait l’autorisation</w:t>
      </w:r>
    </w:p>
    <w:p>
      <w:r>
        <w:t>- 12 - d’exploiter le Restaurant « [...]» et qui entretenait par ailleurs une confusion certaine sur la personne et l’adresse postale de l’employeur du restaurant, le jugement entrepris ne comporte aucune violation de la maxime d’accusation.</w:t>
      </w:r>
    </w:p>
    <w:p>
      <w:r>
        <w:rPr>
          <w:b/>
        </w:rPr>
        <w:t>E. 5.1</w:t>
      </w:r>
    </w:p>
    <w:p>
      <w:r>
        <w:t>L’appelante conteste l’appréciation des preuves opérée par le premier juge. Elle soutient qu’elle n’a pas été citée et convoquée régulièrement selon la pratique administrative et judiciaire applicable en la matière, qu’il n’est pas établi que les convocations aux séances des 19 mars, 10 avril et 26 avril 2018 envoyées par courriel et par courrier à sa société B.________ à son adresse à [...] lui soient parvenues et que le Service de l’emploi aurait pu et dû lui envoyer les convocations à son domicile privé à [...].</w:t>
      </w:r>
    </w:p>
    <w:p>
      <w:r>
        <w:rPr>
          <w:b/>
        </w:rPr>
        <w:t>E. 5.2</w:t>
      </w:r>
    </w:p>
    <w:p>
      <w:r>
        <w:t>S’agissant des convocations, le jugement entrepris retient : « Selon le représentant du Service de l’emploi, que rien ne vient démentir, ce mode de communication avait été convenu entre les parties. » (jugement p. 11). Entendu aux débats de première instance, [...], inspecteur au Service de l’emploi, a expliqué que le service avait déjà eu des échanges avec S.________ pour lesquels il avait utilisé l’adresse de la société B.________ à [...], que l’adresse mail lui avait été communiquée par S.________ elle-même lors d’un contact téléphonique, que les courriers envoyés sous pli recommandé et les courriers électroniques n’étaient pas venus en retour, qu’S.________ avait donc eu connaissance de leur contenu et que le service n’avait eu connaissance de l’adresse « B.________, Restaurant [...], [...]» qu’après la dénonciation (jugement pp. 6-7). L’appel sur les faits dans le cadre d’une cause limitée à une contravention est restreint au sens de l’art. 398 al. 4 CPP (cf. consid. 2. ci- avant). Or, l’appelante ne démontre pas que le fait qu’elle conteste a été établi de manière manifestement inexacte (art. 398 al. 4 CPP) ou de manière arbitraire (Moreillon/ Parein-Reymond, op. cit., n. 31 ad art. 398</w:t>
      </w:r>
    </w:p>
    <w:p>
      <w:r>
        <w:t>- 13 - CPP). En effet, l’appelante n’établit pas que les parties n’avaient pas convenu de modes de communications par courrier et par courriel, ainsi que d’une adresse à [...] pour la réception du courrier du Service de l’emploi, ni ne prouve que le non-retour des plis recommandés et des courriels annonçant l’absence du destinataire procéderaient d’une appréciation arbitraire des preuves. Partant, le grief portant sur l’absence de la communication des convocations du Service de l’emploi doit être rejeté dans la mesure de sa recevabilité. Quant au fait que le Service de l’emploi aurait dû, selon elle, lui envoyer les convocations à son adresse privée en [...], l’appelante perd de vue qu’une adresse postale avait été expressément convenue par les parties (jugement p. 6), de sorte que ce moyen doit également être rejeté dans la mesure de sa recevabilité.</w:t>
      </w:r>
    </w:p>
    <w:p>
      <w:r>
        <w:rPr>
          <w:b/>
        </w:rPr>
        <w:t>E. 6.1</w:t>
      </w:r>
    </w:p>
    <w:p>
      <w:r>
        <w:t>L’appelante conteste sa condamnation, soutenant qu’aucun travail au noir n’a été constaté dans son établissement et qu’elle respectait ses obligations en matière fiscale et d’assurances sociales, de sorte qu’elle n’aurait eu aucune raison de vouloir se soustraire au contrôle si elle avait été valablement convoquée.</w:t>
      </w:r>
    </w:p>
    <w:p>
      <w:r>
        <w:rPr>
          <w:b/>
        </w:rPr>
        <w:t>E. 6.2</w:t>
      </w:r>
    </w:p>
    <w:p>
      <w:r>
        <w:t>Ces arguments de l’appelante concernent d’autres domaines administratifs que celui de la lutte contre le travail au noir et ne remettent pas en cause le jugement entrepris. En effet, comme cela ressort de l’arrêt rendu le 28 mars 2019 par la CDAP (P. 11), d’une part, l’exploitation de l’établissement public de l’appelante a été interrompue à la suite de l’intervention d’un autre service administratif, soit le SPEI, et, d’autre part, elle n’a pas respecté ses obligations administratives en ne produisant pas à temps les pièces qui lui étaient réclamées et en ne répondant pas aux convocations qui lui étaient adressées. Partant, en ne donnant pas suite aux injonctions du Service de l’emploi et en manquant ainsi à son devoir de collaborer en ne lui remettant pas les documents requis, en ne lui fournissant pas les</w:t>
      </w:r>
    </w:p>
    <w:p>
      <w:r>
        <w:t>- 14 - renseignements nécessaires au contrôle et en ne donnant pas suite à ses convocations, l’appelante a enfreint l’art. 8 LTN, sanctionné par l’art. 18 LTN. La condamnation d’S.________ doit ainsi être confirmée.</w:t>
      </w:r>
    </w:p>
    <w:p>
      <w:r>
        <w:rPr>
          <w:b/>
        </w:rPr>
        <w:t>E. 7</w:t>
      </w:r>
    </w:p>
    <w:p>
      <w:r>
        <w:t>L’appelante, qui conclut à son acquittement, ne conteste pas l’amende en tant que telle. Vérifiée d’office, l’amende de 500 fr. prononcée par le premier juge, fixée en application des critères légaux et conformément à la culpabilité et à la situation personnelle d’S.________, sanctionne adéquatement le comportement fautif de la prévenue. L’amende de 500 fr. doit donc être confirmée, de même que la peine privative de liberté de substitution de 5 jours en cas de non-paiement fautif.</w:t>
      </w:r>
    </w:p>
    <w:p>
      <w:r>
        <w:rPr>
          <w:b/>
        </w:rPr>
        <w:t>E. 8</w:t>
      </w:r>
    </w:p>
    <w:p>
      <w:r>
        <w:t>Au vu de ce qui précède, l’appel interjeté par S.________ doit être rejeté et le jugement entrepris confirmé. Vu l’issue de la cause, les frais d'appel, constitués du seul émolument de jugement, par 1'080 fr. (art. 21 al. 1 TFIP [Tarif des frais de procédure et indemnités en matière pénale du 28 septembre 2010; BLV 312.03.1]) sont mis à la charge d’S.________, qui succombe (art. 428 al. 1 CPP). Le rejet de l'appel et la confirmation de la condamnation excluent l'octroi d'une indemnité au sens de l'art. 429 CPP telle que requise par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