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PE19.003526 vom 13. Juni 2019</w:t>
      </w:r>
    </w:p>
    <w:p>
      <w:r>
        <w:t>VD Tribunal cantonal, 2019-06-13, FR</w:t>
      </w:r>
    </w:p>
    <w:p>
      <w:r>
        <w:rPr>
          <w:b/>
        </w:rPr>
        <w:t xml:space="preserve">Quelle: </w:t>
      </w:r>
      <w:r>
        <w:t>https://mcp.opencaselaw.ch/entscheid/vd_gerichte_PE19.003526</w:t>
      </w:r>
    </w:p>
    <w:p>
      <w:r>
        <w:t>FR: VD_GERICHTE PE19.003526 du 13 juin 2019</w:t>
      </w:r>
    </w:p>
    <w:p>
      <w:r>
        <w:t>IT: VD_GERICHTE PE19.003526 del 13 giugno 2019</w:t>
      </w:r>
    </w:p>
    <w:p>
      <w:pPr>
        <w:pStyle w:val="Heading2"/>
      </w:pPr>
      <w:r>
        <w:t>Erwägungen</w:t>
      </w:r>
    </w:p>
    <w:p>
      <w:r>
        <w:rPr>
          <w:b/>
        </w:rPr>
        <w:t>E. 1.1</w:t>
      </w:r>
    </w:p>
    <w:p>
      <w:r>
        <w:t>Né le 12 février 1975 à Bucarest, W.________ est un ressortissant roumain au bénéfice d’un permis B. Il est divorcé et n’a pas d’enfant. L’appelant est fiancé à la sœur du coprévenu A.________, [...], domiciliée à [...], titulaire d’un permis B et actuellement enceinte. W.________ travaille comme aide-charpentier pour une rémunération horaire de 26 fr. 50, soit un salaire net de l’ordre de 4'300 fr. par mois. Il n’a ni dettes ni économies.</w:t>
      </w:r>
    </w:p>
    <w:p>
      <w:r>
        <w:rPr>
          <w:b/>
        </w:rPr>
        <w:t>E. 1.2</w:t>
      </w:r>
    </w:p>
    <w:p>
      <w:r>
        <w:t>Le casier judiciaire suisse de W.________ comporte l’inscription d’une condamnation à une peine pécuniaire de 5 jours-amende à 30 fr. le jour avec sursis pendant 2 ans et à une amende de 500 fr., prononcée le 30 avril 2010 par les Juges d’instruction de Fribourg, pour séjour illégal et activité lucrative sans autorisation. En outre, W.________ a fait l’objet d’une ordonnance pénale rendue par le Ministère public de l’arrondissement du Nord vaudois le 9</w:t>
      </w:r>
    </w:p>
    <w:p>
      <w:r>
        <w:t>- 10 - octobre 2018 le condamnant pour ivresse au volant qualifiée notamment à 25 jours-amende à 30 fr. le jour avec sursis ainsi qu’à une amende.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Niggli/Heer/Wiprächtiger [éd.], Basler Kommentar, Schweizerische Strafprozess-ordnung, Jugendstrafprozessordnung, 2e éd., Bâle 2014, n. 1 ad art. 398 CPP).</w:t>
      </w:r>
    </w:p>
    <w:p>
      <w:r>
        <w:rPr>
          <w:b/>
        </w:rPr>
        <w:t>E. 2.1</w:t>
      </w:r>
    </w:p>
    <w:p>
      <w:r>
        <w:t>Entre 2009-2010 et le 16 février 2019, W.________ a été en possession d’une montre de marque Chopard qui avait été préalablement dérobée lors d’un brigandage commis le 19 décembre 2004 dans une bijouterie de [...]. La montre en question a été retrouvée emballée dans du papier ménage, au domicile [...] de W.________, lors de la perquisition ordonnée à la suite des faits mentionnés ci-dessous et exécutée le 16 février 2019.</w:t>
      </w:r>
    </w:p>
    <w:p>
      <w:r>
        <w:rPr>
          <w:b/>
        </w:rPr>
        <w:t>E. 2.2</w:t>
      </w:r>
    </w:p>
    <w:p>
      <w:r>
        <w:t>Entre le vendredi 15 février 2019 vers 11h00 et le samedi 16 février 2019 vers 03h00, A.________, W.________ et V.________ se sont rendus au [...], au moyen d’une voiture de marque Peugeot 206 immatriculée en [...], alors conduite par le premier nommé. Une fois devant la villa, propriété de [...] et N.________, désignée préalablement par W.________ qui connaissait les lieux et qui a notamment dit à ses deux comparses par où ils devaient entrer, A.________ et V.________ sont sortis du véhicule – contrairement à W.________ – ont soulevé la grille du saut-de- loup et ont forcé la fenêtre d’accès au sous-sol, avant de fouiller l’entier de la maison et d’emporter six montres (une de marque Hublot, une Rolex comprenant la gravure suivante : « [...] », deux Royal Oak, une Jaeger- Lecoultre et une Corum), une bague en or contenant l’inscription «N.________ », des pièces et une chaîne également en or, objets qui ont ensuite été entreposés dans différents endroits du véhicule. Des devises suisses et étrangères, en coupures diverses, ont également été retrouvées sur les trois acolytes, au moment de leur appréhension, à l’intérieur de la voiture précitée, le 16 février 2019 vers 03h00, à [...]. Le 18 février 2019, N.________ a déposé plainte et s'est constituée partie civile. Elle a complété sa plainte le 28 février 2019.</w:t>
      </w:r>
    </w:p>
    <w:p>
      <w:r>
        <w:t>- 11 - En d roit : 1. Interjeté dans les formes et délais légaux (art. 399 CPP) par une partie ayant la qualité pour recourir contre le jugement d'un tribunal de première instance ayant clos la procédure (art. 398 al. 1 CPP), l'appel de W.________ est recevable.</w:t>
      </w:r>
    </w:p>
    <w:p>
      <w:r>
        <w:rPr>
          <w:b/>
        </w:rPr>
        <w:t>E. 3.1</w:t>
      </w:r>
    </w:p>
    <w:p>
      <w:r>
        <w:t>A titre de mesure d’instruction, l’appelant a requis la mise en œuvre des contrôles téléphoniques rétroactifs sur les appareils des prévenus, en particulier s’agissant de l’historique des heures et de l’activation des antennes GSM (localisation), à compter du 14 février 2019 jusqu’au 16 février 2019, faisant valoir que cette mesure permettrait de confirmer sa version des faits.</w:t>
      </w:r>
    </w:p>
    <w:p>
      <w:r>
        <w:t>- 12 -</w:t>
      </w:r>
    </w:p>
    <w:p>
      <w:r>
        <w:rPr>
          <w:b/>
        </w:rPr>
        <w:t>E. 3.2.1</w:t>
      </w:r>
    </w:p>
    <w:p>
      <w:r>
        <w:t>Si la juridiction d'appel jouit d'un plein pouvoir d'examen sur tous les points attaqués du jugement (art. 398 al. 2 CPP précité), la procédure se fonde néanmoins sur les preuves administrées pendant la procédure préliminaire et la procédure de première instance (art. 389 al. 1 CPP).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6B_887/2017 du 8 mars 2018 consid. 1.1 et les références citées). Le magistrat peut ainsi refuser des preuves nouvelles, lorsqu'une administration anticipée de ces preuves démontre qu'elles ne seront pas de nature à modifier le résultat de celles déjà administrées (ATF 136 I 229 consid. 5.3). Ce refus d'instruire ne viole le droit d'être entendu des parties et l'art. 389 al. 3 CPP que si l'appréciation anticipée effectuée est entachée d'arbitraire (ATF 141 I 60 consid. 3.3 ; sur la notion d'arbitraire, cf. ATF 142 II 355 consid. 6 ; TF 6B_1340/2016 du 29 décembre 2017 consid. 1.2).</w:t>
      </w:r>
    </w:p>
    <w:p>
      <w:r>
        <w:rPr>
          <w:b/>
        </w:rPr>
        <w:t>E. 3.2.2</w:t>
      </w:r>
    </w:p>
    <w:p>
      <w:r>
        <w:t>L’art. 273 al. 1 CPP prévoit que, lorsque de graves soupçons laissent présumer qu’un crime, un délit ou une contravention au sens de l’art. 179septies CP a été commis et que les conditions visées à l’art. 269 al. 1 let. b et c sont remplies, le ministère public peut exiger que lui soient</w:t>
      </w:r>
    </w:p>
    <w:p>
      <w:r>
        <w:t>- 13 - fournies les données indiquant quand et avec quelles personnes ou quels raccordements la personne surveillée a été ou est en liaison par poste ou télécommunication (let. a) ainsi que les données relatives au trafic et à la facturation (let. b). L’ordre de surveillance est soumis à l’autorisation du tribunal des mesures de contrainte (art. 273 al. 2 CPP). L’art. 273 al. 3 CPP prévoit par ailleurs que les données mentionnées à l’art. 273 al. 1 CPP peuvent être demandées avec effet rétroactif sur une période de six mois au plus.</w:t>
      </w:r>
    </w:p>
    <w:p>
      <w:r>
        <w:rPr>
          <w:b/>
        </w:rPr>
        <w:t>E. 3.3</w:t>
      </w:r>
    </w:p>
    <w:p>
      <w:r>
        <w:t>L’appelant sollicite la mise en œuvre de contrôles téléphoniques rétroactifs entre le 14 février 2019 et le 16 février 2019, soit pour une période antérieure à six mois. Or, conformément à l’art. 273 al. 3 CPP, cette démarche n’est plus réalisable. Partant, la mesure d’instruction sollicitée ne peut être que rejetée.</w:t>
      </w:r>
    </w:p>
    <w:p>
      <w:r>
        <w:rPr>
          <w:b/>
        </w:rPr>
        <w:t>E. 4.1</w:t>
      </w:r>
    </w:p>
    <w:p>
      <w:r>
        <w:t>L’appelant reproche au premier juge une constatation manifestement inexacte des faits s’agissant de l’infraction de recel retenue à son encontre, violant ainsi le principe de la présomption d’innocence et versant dans l’arbitraire. En substance, il fait valoir que le tribunal a trop hâtivement considéré qu’il ne pouvait que savoir que la montre Chopard provenait d’une infraction puisqu’on ne voyait pas comment son ex-épouse aurait pu acquérir légalement un tel objet de luxe. Il explique qu’il y a dix ans, son ex-femme travaillait en Suisse dans une laiterie, qu’elle effectuait également des ménages et qu’elle gardait des enfants. Il ajoute qu’il avait pris cette montre pour la faire réparer en Suisse, puisqu’elle était cassée.</w:t>
      </w:r>
    </w:p>
    <w:p>
      <w:r>
        <w:rPr>
          <w:b/>
        </w:rPr>
        <w:t>E. 4.2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w:t>
      </w:r>
    </w:p>
    <w:p>
      <w:r>
        <w:t>- 14 -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[ci-après : CR CPP], Bâle 2011, n. 34 ad art. 10 CPP ; Kistler Vianin, CR CPP, nn. 19 ss ad art. 398 CPP et les références jurisprudentielles citées).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op. cit., n. 19 ad art. 398 CPP).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w:t>
      </w:r>
    </w:p>
    <w:p>
      <w:r>
        <w:t>- 15 -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144 IV 345 précité consid. 2.2.3.3 ; ATF 143 IV 500 consid. 1.1 ; ATF 138 V 74 consid. 7).</w:t>
      </w:r>
    </w:p>
    <w:p>
      <w:r>
        <w:rPr>
          <w:b/>
        </w:rPr>
        <w:t>E. 4.3</w:t>
      </w:r>
    </w:p>
    <w:p>
      <w:r>
        <w:t>En l’occurrence, il n’existe pas de preuve matérielle absolue de la manière dont W.________ s’est retrouvé en possession de cette montre. Certes, le premier juge a retenu que l’ex-épouse de l’appelant avait offert la montre de marque Chopard à ce dernier, alors que W.________ affirme qu’elle appartenait à son ex-femme, qu’il s’agissait d’ailleurs d’une montre de femme et qu’il l’avait emportée en Suisse pour la faire réparer. Même s’il peut être retenu qu’il ne s’agissait pas d’un cadeau de l’ex-épouse de W.________ à ce dernier, il n’en demeure pas moins que les explications de l’appelant ne sont pas vraisemblables, voire totalement incroyables. Il n’est en effet pas dans le cours ordinaire des choses de la vie qu’une personne qui doit compléter son revenu d’employée de laiterie par des ménages dispose d’un tel montant disponible après paiement de ses charges courantes qu’elle puisse s’offrir une montre de grand luxe. En revanche, l’acquisition par l’ex-femme de W.________ d’une montre de luxe volée correspond davantage au profil. Et il s’avère en l’espèce que ladite montre était volée. Ainsi, l’explication du premier juge quant à l’acquisition de la montre Chopard par l’ex-épouse de l’appelant doit être confirmée.</w:t>
      </w:r>
    </w:p>
    <w:p>
      <w:r>
        <w:rPr>
          <w:b/>
        </w:rPr>
        <w:t>E. 5.1</w:t>
      </w:r>
    </w:p>
    <w:p>
      <w:r>
        <w:t>L’appelant conteste ensuite la qualification juridique retenue par le premier juge s’agissant de l’infraction de recel. Il se prévaut d’un</w:t>
      </w:r>
    </w:p>
    <w:p>
      <w:r>
        <w:t>- 16 - arrêt de la Cour de cassation pénale du 21 mars 1988 (JdT 1989 IV 159) qui avait relaxé un prévenu de recel car celui-ci s’était contenté de tolérer que des marchandises qu’il savait volées par son amie soient stockées au domicile commun. Il estime que les circonstances du cas d’espèce révèlent qu’il ignorait la provenance de cette montre et n’avait aucune raison de s’en douter et considère qu’il n’a ainsi même pas eu une attitude passive, ni même toléré que l’objet soit de provenance illégale. Ainsi, le dol éventuel ne saurait être retenu contre lui.</w:t>
      </w:r>
    </w:p>
    <w:p>
      <w:r>
        <w:rPr>
          <w:b/>
        </w:rPr>
        <w:t>E. 5.2</w:t>
      </w:r>
    </w:p>
    <w:p>
      <w:r>
        <w:t>Conformément à l'art. 160 ch. 1 al. 1 CP, celui qui aura acquis, reçu en don ou en gage, dissimulé ou aidé à négocier une chose dont il savait ou devait présumer qu'un tiers l'avait obtenue au moyen d'une infraction contre le patrimoine sera puni d'une peine privative de liberté de cinq ans au plus ou d'une peine pécuniaire. Le comportement délictueux consiste à accomplir l'un des trois actes de recel énumérés limitativement par l'art. 160 ch. 1 al. 1 CP. La loi vise tout d'abord l'acquisition et le fait de recevoir en don ou en gage l'objet de l'infraction, ces deux dernières variantes ne représentant que deux formes particulières d'acquisition, qui sont évoquées à titre exemplaire. Le comportement incriminé se rapporte ici à tout acte par lequel l'auteur acquiert, en accord avec l'auteur de l'infraction préalable, un pouvoir de disposition propre sur la chose (ATF 128 IV 23 consid. 3c et les références citées). Le deuxième type de comportement visé, à savoir la dissimulation, désigne tout comportement par lequel l'auteur rend plus difficile ou empêche la découverte de l'infraction. Dans ce contexte, un accord avec l'auteur de l'infraction préalable n'est pas nécessaire. L'acte de dissimulation peut consister à cacher la chose, à la déplacer dans un lieu où l'on ne se doute pas de sa présence, à la revendre, à faire de fausses déclarations, par exemple à la police, ou à procéder à une mise en scène pour dissimuler sa localisation. Le simple fait de garder le silence et de ne pas déclarer où se trouve une chose n'est punissable que dans la mesure où l'auteur est astreint à un devoir de renseigner (TF 6S.455/2003 consid. 3.1 et les arrêts cités).</w:t>
      </w:r>
    </w:p>
    <w:p>
      <w:r>
        <w:t>- 17 - Le recel est une infraction intentionnelle, mais il suffit que l'auteur sache ou doive présumer, respectivement qu'il accepte l'éventualité que la chose provienne d'une infraction contre le patrimoine. Il en va ainsi lorsque les circonstances suggèrent le soupçon de la provenance délictueuse (TF 6B_728/2010 du 1er mars 2011 consid. 2.2 et les références citées). En revanche, le recel ne suppose aucun dessein spécifique tel que le dessein d'enrichissement illégitime (Dupuis et alii, Petit commentaire du Code pénal, 2e éd., Bâle 2017, n. 30 ad art. 160 CP et la référence citée).</w:t>
      </w:r>
    </w:p>
    <w:p>
      <w:r>
        <w:rPr>
          <w:b/>
        </w:rPr>
        <w:t>E. 5.3</w:t>
      </w:r>
    </w:p>
    <w:p>
      <w:r>
        <w:t>En l’espèce, la comparaison avec un arrêt de la Cour de cassation pénale qui a jugé que celui qui se limitait à tolérer la présence de marchandises volées par sa compagne au domicile commun ne se rendait pas coupable de recel, faute de comportement actif, n’est pas pertinente. L’appelant soutient en effet que c’est bien lui qui avait cette montre en sa possession avec l’intention de la faire réparer. Il en était donc seul possesseur, contrairement au cas qu’il cite. En outre, comme expliqué précédemment sous considérant 4.3, la provenance délictueuse de la montre Chopard est établie. Le prévenu devait par conséquent savoir ou aurait dû présumer que cet objet avait été obtenu au moyen d’une infraction. Sa condamnation pour recel doit être confirmée.</w:t>
      </w:r>
    </w:p>
    <w:p>
      <w:r>
        <w:rPr>
          <w:b/>
        </w:rPr>
        <w:t>E. 6.1</w:t>
      </w:r>
    </w:p>
    <w:p>
      <w:r>
        <w:t>L’appelant conteste ensuite sa participation au cambriolage au domicile de [...] et N.________. Il expose qu’il n’a jamais varié dans sa version selon laquelle il est « allé aux filles » à la [...] à [...] et qu’il ne s’est pas douté que pendant ce temps-là, ses comparses commettaient un vol. Aucun élément ne permettrait d’établir que la version de l’appelant serait fausse. En outre, ses deux comparses connaissaient également la région, de sorte qu’ils n’avaient pas besoin de lui pour réaliser leur forfait.</w:t>
      </w:r>
    </w:p>
    <w:p>
      <w:r>
        <w:rPr>
          <w:b/>
        </w:rPr>
        <w:t>E. 6.2</w:t>
      </w:r>
    </w:p>
    <w:p>
      <w:r>
        <w:t>En l’occurrence, l’appelant ne manque pas d’audace lorsqu’il soutient qu’aucun élément n’infirme sa version. Il oublie simplement les</w:t>
      </w:r>
    </w:p>
    <w:p>
      <w:r>
        <w:t>- 18 - dépositions de ses deux compagnons. Aux débats, face à l’appelant, A.________ a déclaré que W.________ était « resté dans la voiture » et ne voulait pas participer au cambriolage de la maison choisie par A.________ et V.________. Il a d’ailleurs exclu que l’appelant soit allé voir les prostituées (« je ne suis pas allé voir les filles. W.________ n’y est pas allé non plus selon moi »). La version de l’appelant est ainsi déjà bien mise à mal par ce co-accusé, alors même que celui-ci semble bien disposé à ne pas l’incriminer en déclarant que l’appelant est resté dans la voiture. Si l’appelant était vraiment allé voir les prostituées, il ne coûterait donc rien à A.________ de le dire. Cela aurait même été plus simple et plus efficace. On peut dès lors conclure que W.________ ne dit pas la vérité. Ce constat est encore renforcé à la lecture de ce que déclare V.________ en cours d’enquête, étant rappelé que libéré de détention, il a été dispensé des débats. Après avoir vainement soutenu qu’il n’avait rien fait, V.________ a déclaré : « W.________ a ensuite proposé d’aller faire un tour à [...]. (…)W.________ nous a désigné la maison et il a expliqué à A.________ que nous pouvions entrer dans cette maison sans risque et qu’il n’y avait personne. Il nous a dit par quel endroit nous pouvions entrer dans la maison, soit par le sous-sol. W.________ est resté vers le véhicule et A.________ et moi on est allé en direction de la villa. W.________ ne voulait pas participer car il a dit qu’il avait travaillé dans les environs de la maison et qu’il était connu. Pour vous répondre, je sais que W.________ travaille dans la construction et il avait l’air de très bien connaître la disposition de la maison ». Plus loin, V.________ a exclu catégoriquement la version de l’appelant selon laquelle il serait allé voir les prostituées : « ça, c’est un mensonge. Vous me résumez les déclarations de W.________ à ce sujet, c’est faux ». A.________ et V.________ sont donc d’accord pour écarter la version de l’appelant. Le trio entretient de bonnes relations et l’intérêt d’incriminer gratuitement W.________ est inexistant. A.________ a encore moins intérêt à mentir, puisqu’il tente lui aussi de ne pas trop incriminer W.________. La version de l’appelant ne pouvant pas être retenue, il faut établir un autre état de fait. C’est ce qu’a fait à juste titre le tribunal en</w:t>
      </w:r>
    </w:p>
    <w:p>
      <w:r>
        <w:t>- 19 - retenant la version de V.________ qui est effectivement cohérente et crédible. Si W.________ n’avait effectivement rien fait, comme il le prétend, on ne voit pas ni pourquoi A.________ et V.________ ne confirmeraient pas sa version s’il était allé voir des prostituées, ni pourquoi lui-même ment en inventant cette histoire de prostituées s’il n’y est pas allé. Ainsi, l’état de fait du jugement sur ce point doit être confirmé.</w:t>
      </w:r>
    </w:p>
    <w:p>
      <w:r>
        <w:rPr>
          <w:b/>
        </w:rPr>
        <w:t>E. 7.1</w:t>
      </w:r>
    </w:p>
    <w:p>
      <w:r>
        <w:t>A titre subsidiaire, s’il n’était pas cru dans la démonstration de son innocence, l’appelant plaide la complicité pour le cas du cambriolage.</w:t>
      </w:r>
    </w:p>
    <w:p>
      <w:r>
        <w:rPr>
          <w:b/>
        </w:rPr>
        <w:t>E. 7.2</w:t>
      </w:r>
    </w:p>
    <w:p>
      <w:r>
        <w:t>Est coauteur celui qui collabore, intentionnellement et de manière déterminante, avec d'autres personnes à la décision de commettre une infraction, à son organisation ou à son exécution, au point d'apparaître comme l'un des participants principaux ; il faut que, d'après les circonstances du cas concret, la contribution du coauteur apparaisse essentielle à l'exécution de l'infraction. La seule volonté quant à l'acte ne suffit pas ;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consid. 2.3.1 ; ATF 130 IV 58 ; ATF 125 IV 134). Il faut que le coauteur ait une certaine maîtrise des opérations et que son rôle soit plus ou moins indispensable (ATF 120 IV 17 consid. 2d). Ainsi, la contribution du participant principal est essentielle au point que l'exécution ou la non-exécution de l'infraction considérée en dépende (ATF 120 IV 265 consid. 2c).</w:t>
      </w:r>
    </w:p>
    <w:p>
      <w:r>
        <w:t>- 20 - La complicité est définie à l’art. 25 CP (Code pénal suisse du 21 décembre 1937 ; RS 311) comme le fait de prêter assistance. Selon cette disposition, la peine est atténuée à l’égard de quiconque a intentionnellement prêté assistance à l’auteur pour commettre un crime ou un délit. Le complice est donc un participant secondaire ; il n'accepte que de prêter assistance. Il n'est pas nécessaire que sa contribution soit une condition sine qua non de la réalisation de l'infraction. Il suffit que l'assistance soit causale, en ce sens que les événements ne se seraient pas déroulés de la même manière sans cet acte de favorisation ; le complice doit augmenter les chances de succès de l'infraction (ATF 121 IV 109 ; JT 1996 IV 95). L'assistance prêtée par le complice peut être matérielle, intellectuelle ou consister en une simple abstention. Elle peut être apportée jusqu'à l'achèvement de l'infraction, dont le complice doit avoir l'intention de favoriser la commission, le dol éventuel étant toutefois suffisant (ATF 121 IV 109 consid. 3a ; ATF 118 IV 309 c. 1a et les arrêts cités).</w:t>
      </w:r>
    </w:p>
    <w:p>
      <w:r>
        <w:rPr>
          <w:b/>
        </w:rPr>
        <w:t>E. 7.3</w:t>
      </w:r>
    </w:p>
    <w:p>
      <w:r>
        <w:t>En l’occurrence, l’état de fait ne permet pas de retenir la complicité. Le rôle de celui qui propose de venir à [...], choisit la cible du cambriolage et explique comment entrer dépasse celui endossé par le complice qui fournit une aide marginale à la commission de l’infraction. Cela vaut d’autant plus que si W.________ n’est pas entré dans la villa, c’est uniquement par peur d’être reconnu par le voisinage et non en raison d’une implication moindre dans le projet criminel. Ainsi, son argument tombe à faux et l’appelant doit être reconnu, à l’instar de ses deux comparses, coupable de vol, dommages à la propriété et violation de domicile.</w:t>
      </w:r>
    </w:p>
    <w:p>
      <w:r>
        <w:rPr>
          <w:b/>
        </w:rPr>
        <w:t>E. 8.1</w:t>
      </w:r>
    </w:p>
    <w:p>
      <w:r>
        <w:t>A titre encore plus subsidiaire, l’appelant conteste la peine prononcée. Il estime que cette peine ne tient pas compte de toutes les circonstances à décharge, notamment son rôle passif et sa volonté délictueuse moindre. Il soutient en outre qu’une peine pécuniaire aurait dû être prononcée.</w:t>
      </w:r>
    </w:p>
    <w:p>
      <w:r>
        <w:t>- 21 -</w:t>
      </w:r>
    </w:p>
    <w:p>
      <w:r>
        <w:rPr>
          <w:b/>
        </w:rPr>
        <w:t>E. 8.2.1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w:t>
      </w:r>
    </w:p>
    <w:p>
      <w:r>
        <w:rPr>
          <w:b/>
        </w:rPr>
        <w:t>E. 8.2.2</w:t>
      </w:r>
    </w:p>
    <w:p>
      <w:r>
        <w:t>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144 IV 313 consid. 1.1.1 p. 317 ; ATF 134 IV 97 consid. 4.2.2 p. 100</w:t>
      </w:r>
    </w:p>
    <w:p>
      <w:r>
        <w:t>- 22 - s.). Le choix de la sanction doit être opéré en tenant compte au premier chef de l'adéquation de la peine, de ses effets sur l'auteur et sur sa situation sociale ainsi que de son efficacité du point de vue de la prévention (ATF 144 IV 313 consid. 1.1.1 p. 317 ; ATF 137 II 297 consid. 2.3.4 p. 301 ; ATF 134 IV 97 consid. 4.2 p. 100). La faute de l'auteur n'est en revanche pas déterminante (ATF 144 IV 313 consid. 1.1.1 p. 317; ATF 137 II 297 consid. 2.3.4 p. 301).</w:t>
      </w:r>
    </w:p>
    <w:p>
      <w:r>
        <w:rPr>
          <w:b/>
        </w:rPr>
        <w:t>E. 8.3</w:t>
      </w:r>
    </w:p>
    <w:p>
      <w:r>
        <w:t>En l’espèce, son rôle passif et sa volonté délictuelle moindre ont déjà été écartés sous considérant 7.3 ci-dessus. La quotité de la peine fixée par le premier juge est par ailleurs adéquate. Quant au genre de peine, deux précédentes condamnations à des jours-amendes n’ont pas dissuadé l’appelant de commettre de nouvelles infractions. Des motifs de prévention spéciale commandent dès lors une peine privative de liberté.</w:t>
      </w:r>
    </w:p>
    <w:p>
      <w:r>
        <w:rPr>
          <w:b/>
        </w:rPr>
        <w:t>E. 9.1</w:t>
      </w:r>
    </w:p>
    <w:p>
      <w:r>
        <w:t>L’appelant plaide le sursis parce qu’il est un délinquant primaire en matière d’infractions contre le patrimoine. Il prétend en outre qu’il ne faudrait pas révoquer le précédent sursis car la peine réprimait une infraction différente.</w:t>
      </w:r>
    </w:p>
    <w:p>
      <w:r>
        <w:rPr>
          <w:b/>
        </w:rPr>
        <w:t>E. 9.2.1</w:t>
      </w:r>
    </w:p>
    <w:p>
      <w:r>
        <w:t>Selon l'art. 42 al. 1 CP, le juge suspend en règle générale l'exécution d'une peine pécuniaire ou d'une peine privative de liberté de deux ans au plus lorsqu'une peine ferme ne paraît pas nécessaire pour détourner l'auteur d'autres crimes ou délits. Pour formuler un pronostic sur l'amendement de l'auteur au sens de l'art. 42 CP,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w:t>
      </w:r>
    </w:p>
    <w:p>
      <w:r>
        <w:t>- 23 - (ATF 135 IV 180 consid. 2.1 ; ATF 134 IV 1 consid. 4.2.1). Le juge dispose d'un large pouvoir d'appréciation dans l'émission du pronostic. Le Tribunal fédéral n'intervient que s'il en a abusé, notamment lorsqu'il a omis de tenir compte de critères pertinents et s'est fondé exclusivement sur les antécédents du condamné (ATF 134 IV 140 consid. 4.2 ; ATF 133 IV 201 consid. 2.3 ; TF 6B_658/2017 du 30 janvier 2018 consid. 1.2).</w:t>
      </w:r>
    </w:p>
    <w:p>
      <w:r>
        <w:rPr>
          <w:b/>
        </w:rPr>
        <w:t>E. 9.2.2</w:t>
      </w:r>
    </w:p>
    <w:p>
      <w:r>
        <w:t>Selon l'art. 46 CP, si durant le délai d'épreuve, le condamné commet un crime ou un délit et qu'il y a dès lors lieu de prévoir qu'il commettra de nouvelles infractions, le juge révoque le sursis ou le sursis partiel (al. 1, 1re phrase). S'il n'y a pas lieu de prévoir que le condamné commettra de nouvelles infractions, le juge renonce à ordonner la révocation (al. 2, 1re phrase). La commission d'un crime ou d'un délit durant le délai d'épreuve n'entraîne ainsi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En particulier, le juge doit prendre en considération l'effet dissuasif que la nouvelle peine peut exercer, si elle est exécutée (ATF 134 IV 140 consid. 4.4 et 4.5).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w:t>
      </w:r>
    </w:p>
    <w:p>
      <w:r>
        <w:t>- 24 -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par ailleurs de soi que le juge doit motiver sa décision, de manière à ce que l'intéressé puisse au besoin la contester utilement et l'autorité de recours exercer son contrôle (TF 6B_887/2017 du 8 mars 2018 consid. 5.1 ; TF 6B_105/2016 du 11 octobre 2016 consid. 1.1).</w:t>
      </w:r>
    </w:p>
    <w:p>
      <w:r>
        <w:rPr>
          <w:b/>
        </w:rPr>
        <w:t>E. 9.3</w:t>
      </w:r>
    </w:p>
    <w:p>
      <w:r>
        <w:t>En l’occurrence, l’appelant a déjà été condamné une fois pour infraction à la LEI (Loi fédérale du 16 décembre 2005 sur les étrangers et l’intégration, dénommée Loi fédérale sur les étrangers avant le 1er janvier 2019 [LEtr] ; RS 142.20) et une fois pour infraction à la LCR (Loi fédérale sur la circulation routière du 19 décembre 1958 ; RS 741.01). Incapable de se conformer à l’ordre juridique suisse, il commet de nouvelles infractions dans un nouveau domaine. La gravité des infractions va en s’accroissant. Deux précédents sursis n’ont exercé aucun effet dissuasif. L’appelant ne procède à aucune prise de conscience et s’enferre dans le déni jusqu’à l’absurde. Le pronostic est dès lors clairement défavorable. Cette appréciation vaut aussi bien pour le sursis à prononcer pour les nouveaux faits à juger que pour la révocation du précédent sursis. Ainsi, il y a lieu de prononcer une peine ferme et de révoquer le sursis qui avait été accordé à l’appelant le 9 octobre 2018 par le Ministère public de l’arrondissement du Nord vaudois et d’ordonner l’exécution de la peine pécuniaire de 25 jours-amende à 30 fr. le jour.</w:t>
      </w:r>
    </w:p>
    <w:p>
      <w:r>
        <w:t>- 25 -</w:t>
      </w:r>
    </w:p>
    <w:p>
      <w:r>
        <w:rPr>
          <w:b/>
        </w:rPr>
        <w:t>E. 10.1</w:t>
      </w:r>
    </w:p>
    <w:p>
      <w:r>
        <w:t>L’appelant conteste son expulsion du territoire suisse. Il met en avant son permis B, son amie en Suisse, l’enfant à naître, son travail, ses liens sociaux forts avec la Suisse et la gravité relative des infractions.</w:t>
      </w:r>
    </w:p>
    <w:p>
      <w:r>
        <w:rPr>
          <w:b/>
        </w:rPr>
        <w:t>E. 10.2</w:t>
      </w:r>
    </w:p>
    <w:p>
      <w:r>
        <w:t>Aux termes de l'art. 66a al. 1 let. d CP, le juge expulse de Suisse l'étranger qui est condamné pour vol (art. 139 CP) en lien avec une violation de domicile (art. 186 CP).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Ainsi, l'art. 66a CP prévoit l'expulsion «obligatoire» de l'étranger condamné pour l'une des infractions ou combinaison d'infractions listées à l'al. 1, quelle que soit la quotité de la peine prononcée à son encontre. L'expulsion est donc en principe indépendante de la gravité des faits retenus (ATF 144 IV 332 consid. 3.1.3 ; TF 6B_506/2017 du 14 février 2018 consid. 1.1).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(Convention de sauvegarde des droits de l’homme et des libertés fondamentales du 4 novembre 1950 ; RS 0.101 ; TF 6B_143/2019 du 6 mars 2019 consid. 3.3.1 ; TF 6B_724/2018 du 30 octobre 2018 consid. 2.3.2 ; TF 6B_371/2018 du 21 août 2018 consid. 2.5). En recourant à la notion de cas de rigueur dans le cadre de l'art. 66a al. 2 CP, le législateur a fait usage d'un concept ancré depuis longtemps dans le droit des étrangers. Compte tenu également du lien étroit entre l'expulsion pénale et les mesures de droit des étrangers, il est</w:t>
      </w:r>
    </w:p>
    <w:p>
      <w:r>
        <w:t>- 26 - justifié de s'inspirer, de manière générale, des critères prévus par l'art. 31 al. 1 OASA (Ordonnance du 24 octobre 2007 relative à l'admission, au séjour et à l'exercice d'une activité lucrative ; RS 142.201) et de la jurisprudence y relative dans le cadre de l'application de l'art. 66a al. 2 CP (ATF 144 IV 332 consid. 3.3.2 ; TF 6B_627/2018 du 22 mars 2019, consid. 1.3.5 ; TF 6B_143/2019 précité, consid. 3.3.1). Cette disposition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consid. 3.3.2 et les références doctrinales citées ; TF 6B_143/2019 précité, consid. 3.3.1 ; TF 6B_627/2018 précité consid. 1.3.5).</w:t>
      </w:r>
    </w:p>
    <w:p>
      <w:r>
        <w:rPr>
          <w:b/>
        </w:rPr>
        <w:t>E. 10.3</w:t>
      </w:r>
    </w:p>
    <w:p>
      <w:r>
        <w:t>En l’espèce, le comportement délictueux de l’appelant tombe sous le coup de l’art. 66a al. 1 let. d CP, compte tenu de la confirmation de sa condamnation pour vol et violation de domicile, si bien qu’il se trouve dans un cas d’expulsion obligatoire. Excepté six mois de séjour en 2000 et un séjour illégal en Suisse en 2009, l’appelant est revenu en Suisse en 2016. En ce laps de temps relativement court, il a accumulé trois condamnations. Il n’est pas marié en Suisse, étant rappelé que la jurisprudence n’assimile pas le concubinage au mariage (cf. 6B_612/2018 du 22 août 2018, consid. 2.7). Il est donné acte à l’appelant que son employeur est satisfait de ses services, mais cela ne démontre pas une intégration professionnelle particulièrement aboutie. Ses liens sociaux en Suisse ne sont pas davantage démontrés. Au contraire, il est constaté une grande difficulté à respecter l’ordre juridique. De plus, la prise de conscience de l’appelant est inexistante. Pour les mêmes motifs que ceux exposés en relation avec</w:t>
      </w:r>
    </w:p>
    <w:p>
      <w:r>
        <w:t>- 27 - le refus du sursis, le pronostic est sombre. En outre, les infractions commises ne sont pas aussi peu graves que le soutient l’appelant. Ainsi, l’expulsion prononcée par le premier juge, qui ne consacre en aucune manière un cas de rigueur, est justifiée.</w:t>
      </w:r>
    </w:p>
    <w:p>
      <w:r>
        <w:rPr>
          <w:b/>
        </w:rPr>
        <w:t>E. 11</w:t>
      </w:r>
    </w:p>
    <w:p>
      <w:r>
        <w:t>Au vu de ce qui précède, l’appel interjeté par W.________ doit être rejeté et le jugement du 13 juin 2019 confirmé. Le défenseur d’office de W.________ a produit une liste d’opérations faisant état d’un temps total consacré au mandat de 13 heures et 12 minutes pour Me Samuel Pahud et de 9 heures et 15 minutes pour son avocat-stagiaire. De cette prétention jugée excessive, il convient tout d’abord de retrancher 45 minutes relatives aux quatre premières opérations de la liste, déjà indemnisées dans le cadre du jugement de première instance. Il y a également lieu de soustraire 18 minutes pour trois notices. On ne comprend pas à quoi ce travail correspond et on n'en discerne pas l'utilité pour la cause. On ne saurait par conséquent tenir compte de ce poste dans le décompte des heures utiles au traitement de l'appel. Il convient aussi de retrancher deux opérations intitulées « (stagiaire) prise de connaissance dossier » et « (stagiaire) lecture jugement, notes », comptabilisées à hauteur de 2 heures et 9 minutes et effectuées par l’avocat-stagiaire. En effet, l’opération « examen jgt motivé + annot. » ayant déjà été comptabilisée au tarif de l’avocat, il y a lieu de ne pas rémunérer deux fois le même travail. En outre, les heures alléguées pour ces postes ayant été effectuées pour des motifs de formation de l’avocat-stagiaire, celles-ci n’ont pas à être indemnisées. C’est ainsi une indemnité de 3'389 fr. 70, correspondant à 12 heures et 9 minutes effectuées par l’avocat au tarif horaire de 180 fr. et à 7 heures et 6 minutes effectuées par l’avocat-stagiaire au tarif horaire de 110 fr., à 2% de débours forfaitaires (art. 19 al. 2 TDC [Tarif des dépens en matière civile du 23 novembre 2010 ; BLV 270.11.6], applicable par renvoi de l’art. 26a al. 6 TFIP [Tarif des frais de procédure et indemnités en matière pénale du 28 septembre 2010 ; BLV 312.03.1]) par 59 fr. 35, à 120 fr. de vacation et à 242 fr. 35 de TVA qui doit être allouée à Me Samuel Pahud pour la procédure d’appel.</w:t>
      </w:r>
    </w:p>
    <w:p>
      <w:r>
        <w:t>- 28 - Vu l’issue de la cause, les frais de la procédure d’appel, par 6'289 fr. 70, composés des émoluments de jugement et d’audience (art. 21 al. 1 et 2 TFIP), par 2'900 fr., ainsi que de l'indemnité allouée au défenseur d’office de l'appelant, par 3'389 fr. 70, seront mis à la charge de l'appelant, qui succombe (art. 428 al. 1 CPP). L'appelant ne sera tenu de rembourser à l’Etat l’indemnité allouée à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