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PE19.003122 vom 6. November 2019</w:t>
      </w:r>
    </w:p>
    <w:p>
      <w:r>
        <w:t>VD Tribunal cantonal, 2019-11-06, FR</w:t>
      </w:r>
    </w:p>
    <w:p>
      <w:r>
        <w:rPr>
          <w:b/>
        </w:rPr>
        <w:t xml:space="preserve">Quelle: </w:t>
      </w:r>
      <w:r>
        <w:t>https://mcp.opencaselaw.ch/entscheid/vd_gerichte_PE19.003122</w:t>
      </w:r>
    </w:p>
    <w:p>
      <w:r>
        <w:t>FR: VD_GERICHTE PE19.003122 du 6 novembre 2019</w:t>
      </w:r>
    </w:p>
    <w:p>
      <w:r>
        <w:t>IT: VD_GERICHTE PE19.003122 del 6 novembre 2019</w:t>
      </w:r>
    </w:p>
    <w:p>
      <w:pPr>
        <w:pStyle w:val="Heading2"/>
      </w:pPr>
      <w:r>
        <w:t>Erwägungen</w:t>
      </w:r>
    </w:p>
    <w:p>
      <w:r>
        <w:rPr>
          <w:b/>
        </w:rPr>
        <w:t>E. 1</w:t>
      </w:r>
    </w:p>
    <w:p>
      <w:r>
        <w:t>- 3 -</w:t>
      </w:r>
    </w:p>
    <w:p>
      <w:r>
        <w:rPr>
          <w:b/>
        </w:rPr>
        <w:t>E. 1.1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à l’autorité de recours (art. 322 al. 2 et 396 al. 1 CPP).</w:t>
      </w:r>
    </w:p>
    <w:p>
      <w:r>
        <w:rPr>
          <w:b/>
        </w:rPr>
        <w:t>E. 1.2</w:t>
      </w:r>
    </w:p>
    <w:p>
      <w:r>
        <w:t>En l'espèce, interjeté en temps utile devant l’autorité compétente, par la partie plaignante qui a qualité pour recourir (art. 382 al. 1 CPP), et satisfaisant aux conditions de forme prescrites (art. 385 al. 1 CPP), le recours est recevable.</w:t>
      </w:r>
    </w:p>
    <w:p>
      <w:r>
        <w:rPr>
          <w:b/>
        </w:rPr>
        <w:t>E. 2</w:t>
      </w:r>
    </w:p>
    <w:p>
      <w:r>
        <w:t>Selon l'art. 319 al. 1 let. a CPP, le ministère public ordonne le classement de tout ou partie de la procédure lorsqu'aucun soupçon justifiant une mise en accusation n'est établi.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w:t>
      </w:r>
    </w:p>
    <w:p>
      <w:r>
        <w:t>- 4 - appartient de se prononcer (TF 6B_511/2018 du 25 juillet 2018; ATF 143 IV 241 consid. 2.2.1; ATF 138 IV 86 consid. 4.1.1; ATF 138 IV 186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3</w:t>
      </w:r>
    </w:p>
    <w:p>
      <w:r>
        <w:t>La recourante se limite à reprendre ses griefs dirigés contre la prévenue. Elle n’étaye ses moyens par aucune offre de preuve complémentaire mais se limite à des reproches d’ordre général quant à la conduite de la procédure. Force est ainsi de constater qu’hormis les photographies attestant des dommages à sa voiture et de diverses souillures devant son pas de porte (P. 4/2 et 5/2), la plaignante ne fournit aucune proposition de preuve de ses allégations, s’agissant en particulier de savoir si la prévenue a commis les déprédations dénoncées. Au surplus, on ignore tout des circonstances dans lesquelles le courrier adressé à la recourante lui aurait été dérobé. Aucune mesure d'instruction n'est susceptible d’établir plus avant les faits déterminants. Dans ces conditions, un renvoi de la prévenue en jugement aboutirait assurément à sa libération. C'est dès lors à juste titre que la Procureure a ordonné le classement de la procédure en application de l'art. 319 al. 1 let. a CPP.</w:t>
      </w:r>
    </w:p>
    <w:p>
      <w:r>
        <w:rPr>
          <w:b/>
        </w:rPr>
        <w:t>E. 4</w:t>
      </w:r>
    </w:p>
    <w:p>
      <w:r>
        <w:t>Au vu de ce qui précède, le recours, manifestement mal fondé, doit être rejeté sans échange d'écritures (art. 390 al. 2 CPP) et l'ordonnance confirmée. Les frais de la procédure de recours, constitués du seul émolument d’arrêt, par 550 fr. (art. 20 al. 1 TFIP [Tarif des frais judiciaires de procédure et indemnités en matière pénale du 28 septembre 2010; BLV</w:t>
      </w:r>
    </w:p>
    <w:p>
      <w:r>
        <w:t>- 5 - 312.03.1]), seront mis à la charge de la recourante, qui succombe (art. 428 al. 1 CPP). Par ces motifs, la Chambre des recours pénale prononce : I. Le recours est rejeté. II. L’ordonnance du 9 juillet 2019 est confirmée.</w:t>
      </w:r>
    </w:p>
    <w:p>
      <w:r>
        <w:t>- 6 - III. Les frais d’arrêt, par 550 fr. (cinq cent cinquante francs), sont mis à la charge de L.________. IV. L’arrêt est exécutoire. Le président : Le greffier : Du Le présent arrêt, dont la rédaction a été approuvée à huis clos, est notifié, par l'envoi d'une copie complète, à : - Mme L.________, - Ministère public central, et communiqué à : - Mme la Procureure de l’arrondissement de Lausanne, - Mme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