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PE19.002951 vom 3. Juli 2023</w:t>
      </w:r>
    </w:p>
    <w:p>
      <w:r>
        <w:t>VD Tribunal cantonal, 2023-07-03, FR</w:t>
      </w:r>
    </w:p>
    <w:p>
      <w:r>
        <w:rPr>
          <w:b/>
        </w:rPr>
        <w:t xml:space="preserve">Quelle: </w:t>
      </w:r>
      <w:r>
        <w:t>https://mcp.opencaselaw.ch/entscheid/vd_gerichte_PE19.002951</w:t>
      </w:r>
    </w:p>
    <w:p>
      <w:r>
        <w:t>FR: VD_GERICHTE PE19.002951 du 3 juillet 2023</w:t>
      </w:r>
    </w:p>
    <w:p>
      <w:r>
        <w:t>IT: VD_GERICHTE PE19.002951 del 3 luglio 2023</w:t>
      </w:r>
    </w:p>
    <w:p>
      <w:pPr>
        <w:pStyle w:val="Heading2"/>
      </w:pPr>
      <w:r>
        <w:t>Erwägungen</w:t>
      </w:r>
    </w:p>
    <w:p>
      <w:r>
        <w:rPr>
          <w:b/>
        </w:rPr>
        <w:t>E. 2</w:t>
      </w:r>
    </w:p>
    <w:p>
      <w:r>
        <w:t>Cst et 6 §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6B_609/2021 du 19 juillet 2021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143 IV 40 précité ; ATF 142 I 135 consid. 2.1) ; elle n'est en revanche pas tenue de discuter tous les arguments soulevés par les parties, mais peut se limiter à l'examen des questions décisives pour l'issue du litige (ATF 142 Il 154 consid. 4.2).</w:t>
      </w:r>
    </w:p>
    <w:p>
      <w:r>
        <w:rPr>
          <w:b/>
        </w:rPr>
        <w:t>E. 2.6</w:t>
      </w:r>
    </w:p>
    <w:p>
      <w:r>
        <w:t>Conformément à la jurisprudence précitée, il sied de rappeler que le Ministère public n'est pas tenu de discuter tous les arguments</w:t>
      </w:r>
    </w:p>
    <w:p>
      <w:r>
        <w:t>- 10 - soulevés par la recourante (ATF 142 Il 154 consid. 4.2 précité). De plus, quand bien même l'on considérerait qu'il y a violation d'obtenir une décision motivée, ce vice serait réputé réparé dans le cadre de la présente procédure de recours, dans la mesure où la Chambre de céans dispose d'un plein pouvoir de cognition sur les moyens de fond de la recourante. Partant, ce grief doit être rejeté.</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w:t>
      </w:r>
    </w:p>
    <w:p>
      <w:r>
        <w:t>- 11 -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3.2</w:t>
      </w:r>
    </w:p>
    <w:p>
      <w:r>
        <w:t>; TF 6B 631/2022 du 2 mars 2023 consid. 3.1).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 3 ; TF 6B_631/2022 du 2 mars 2023 consid. 3.1 ; TF 6B_38/2021 du 14 février 2022 consid. 3.3).</w:t>
      </w:r>
    </w:p>
    <w:p>
      <w:r>
        <w:rPr>
          <w:b/>
        </w:rPr>
        <w:t>E. 4</w:t>
      </w:r>
    </w:p>
    <w:p>
      <w:r>
        <w:t>Gestion déloyale</w:t>
      </w:r>
    </w:p>
    <w:p>
      <w:r>
        <w:rPr>
          <w:b/>
        </w:rPr>
        <w:t>E. 4.1</w:t>
      </w:r>
    </w:p>
    <w:p>
      <w:r>
        <w:t>L'art.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6B_608/2020 du 4 décembre 2020 consid. 3.1). Le cas de la gestion déloyale aggravée est réalisé lorsque l'auteur a agi dans le dessein de se procurer ou de procurer à un tiers un enrichissement illégitime, l'auteur étant dans cette hypothèse passible d'une peine privative de liberté d'un à cinq ans (ch. 1 al. 3). 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w:t>
      </w:r>
    </w:p>
    <w:p>
      <w:r>
        <w:t>- 12 - dol éventuel ; tel est le cas lorsque l'auteur envisage l'enrichissement comme possible et agit néanmoins, même s'il ne le souhaite pas, parce qu'il s'en accommode pour le cas où il se produirait (ATF 142 IV 346 consid. 3.2 ; 105 IV 29 consid. 3a ; arrêt 6B_132/2021 du 19 octobre 2021 consid. 2.1.2). Selon la jurisprudence, revêt la qualité de gérant celui à qui il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 ATF 123 IV 17 consid. 3b ; TF 6B_815/2020 du 22 décembre 2020 consid. 4.1).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6B_815/2020 précité consid. 4.1 ; TF 6B 1074/2019 du 14 novembre 2019 consid. 4.1 et les références citées).</w:t>
      </w:r>
    </w:p>
    <w:p>
      <w:r>
        <w:t>- 13 -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ATF 120 IV 190 consid. 2b ; ATF 118 IV 244 consid. 2b ; TF 6B_310/2014 du 23 novembre 2015 consid. 3.1.1) L'infraction de gestion déloyale n'est consommée que s'il y a eu un dommage patrimonial. Ce préjudice doit être en rapport de causalité avec la violation des devoirs (Corboz, Les infractions en droit suisse, vol. l, 3e éd., Berne 2010, n. 10 ad art. 158 CP). Il n'est pas nécessaire que le dommage corresponde à l'enrichissement de l'auteur, ni qu'il soit chiffré ; il suffit qu'il soit certain (ATF 123 IV 17 consid. 3d). L'infraction de gestion déloyale requiert l'intention, qui doit porter sur tous les éléments constitutifs. Le dol éventuel suffit, mais celui- ci doit être nettement et strictement caractérisé vu l'imprécision des éléments constitutifs objectifs de cette infraction (ATF 142 IV 346 consid.</w:t>
      </w:r>
    </w:p>
    <w:p>
      <w:r>
        <w:rPr>
          <w:b/>
        </w:rPr>
        <w:t>E. 4.2</w:t>
      </w:r>
    </w:p>
    <w:p>
      <w:r>
        <w:t>En l'occurrence, la recourante fait grief au Ministère public d'avoir ordonné le classement en ce qui concerne l'accusation de gestion déloyale portée contre H.________ Elle fait valoir en substance qu'il ne faudrait attacher aucune crédibilité aux dires des prévenus, qui auraient varié dans leurs déclarations et que l'instruction aurait au contraire confirmé ses soupçons quant aux irrégularités reprochées à H.________.</w:t>
      </w:r>
    </w:p>
    <w:p>
      <w:r>
        <w:t>- 14 - Au préalable, il convient de souligner le contexte particulier ayant entouré les faits reprochés à H.________ En effet, il ressort des pièces au dossier et des déclarations des parties que, durant l'incapacité totale de travail de F.D.________, H.________ assumait l'exploitation du domaine avec l'aide de son « cousin », E.D.________, qui avait lui-même repris la ferme de son père située dans la même localité. Bien que devant parfois être prises avec retenue (voir infra ch. 5.4), les déclarations des précités sont crédibles et concordantes sur ce point (PV aud. 1, 2 et 4). Elles le sont tout autant quant à la gestion du domaine après le décès de F.D.________. En effet, il apparait que les intimés ont exploité la ferme dans la continuité de ce qui se faisait du vivant de F.D.________, soit en se rendant mutuellement des services sans accord écrit ni contrepartie financière (PV aud. 1, p. 8, PV aud. 2, p. 7) « afin que le domaine fonctionne et que rien ne dépérisse » (PV aud. 2, p. 9), dès lors qu'il était entendu que H.________ reprenne l'exploitation du domaine. La recourante reproche à H.________ d'avoir permis à E.D.________ de laisser paître ses bovidés sur un pâturage de l'exploitation sans contrepartie et de lui avoir octroyé l'usage du champ « Les Pâquiers » sans contreprestation. Contrairement à ce qu'avance la défense, on ne saurait voir, dans la poursuite d'un arrangement ou d'échanges de bons procédés dans la continuité de ce qui se faisait du vivant de F.D.________ (cf. PV aud. 1, p. 7 et PV aud. 2, pp 7-8), une quelconque infraction de gestion déloyale de la part de H.________, ce d'autant que les analyses financières réalisées par la police confirment l'absence de « grosse anomalie ou variation importante entre les années précédentes et le premier semestre de l'année 2015 » et apportent des explications circonstanciées sur l'origine des variations constatées (cf. P. 25 pp. 7-8). Par ailleurs, le fait que H.________ ait ouvert un compte auprès de la Banque T.________ pour l’encaissement des pensions des chevaux et faire face aux dépenses occasionnées par ces derniers, ne saurait non plus</w:t>
      </w:r>
    </w:p>
    <w:p>
      <w:r>
        <w:t>- 15 - constituer une violation de son devoir de gérant, dans la mesure où la police n'a pas constaté de mouvements sur ce compte qui n'étaient pas strictement liés à l'exploitation du domaine (P. 25). De plus, le fait que l'intimée n'ait pas versé sur ce compte bancaire les pensions dues pour le placement de ses chevaux et se soit acquittée de certains frais les concernant (ferrage et frais vétérinaires) via ce même compte n'est pas constitutif d'une infraction de gestion déloyale, H.________ ayant agi dans la continuité d’un accord trouvé avec F.D.________ déjà mis en place de son vivant (cf. PV aud. 1). Quoi qu’il en soit, tant la conscience de violer ses devoirs que l’intention de créer un dommage peuvent d’emblée être écartées chez l’intimée. Par ailleurs, elle n’a pas non plus délibérément lésé les intérêts de la recourante en conservant le solde du compte ouvert auprès de la Banque T.________ dans la mesure où elle a expliqué : « c’était un peu un salaire que je me payais pour tous ces mois où j’avais travaillé et rien reçu » (PV aud. 1, p. 8). La recourante reproche encore à l'intimée d'avoir résilié le bail à ferme portant sur le champ loué à un certain « [...] ». Il apparait toutefois à l'aune des explications données par l'intimée et du contrat qu'elle a produit (P. 25/13) qu'il ne s'agissait non pas d'une résiliation de bail ou d'un « contrat conclu avec soi-même », mais d'une reprise de bail à ferme, qui s'inscrivait dans la reprise de l'exploitation par l'intimée. Ce faisant, l'hoirie n'a pas subi de dommage, dans la mesure où les héritières ne sont pas agricultrices. Il n'apparait au demeurant pas qu'elles aient exprimé une quelconque volonté de reprendre le domaine. De même, s’agissant de la facture que H.________ a adressée à A.D.________ pour son travail sur le domaine agricole d'octobre 2014 à mai 2015, qui ne tiendrait pas compte du fait que H.________ avait été absente deux semaines en vacances, si tant est qu'elle soit constitutive d'un acte de gestion déloyale, force est de constater que l'hoirie n'a pas subi de dommage, à défaut de l'avoir étayé. Il s'agit-là d'un litige de nature purement civile.</w:t>
      </w:r>
    </w:p>
    <w:p>
      <w:r>
        <w:t>- 16 - Enfin, en ce qui concerne le reproche formulé à l'encontre de H.________ de ne pas s'être acquittée, après la reprise du domaine, de la contrepartie des 178 balles de foin laissées sur place lorsque la ferme a été vidée, soit à la fin du mois de février 2016, par A.D.________ c'est le lieu relever que H.________ ne revêtait plus, à ce moment-là, soit après la reprise du domaine, la qualité de gérante, de sorte qu'aucune infraction de gestion déloyale ne saurait lui être reprochée de ce chef. De plus, l'intimée ayant déclaré : « (...), c'était du vieux foin. J'ai donc pensé que vu qu'elle l'avait laissé et ne m'avait rien demander (sic) par rapport à ce foin, je pouvais en disposer librement » (PV aud. 1, p. 10), on ne discerne pas quelle autre infraction pourrait être réalisée, de sorte que l'on se trouve en présence d'un litige civil. Au vu de ce qui précède, le classement concernant l'infraction de gestion déloyale doit être confirmé, faute de réalisation de ses éléments constitutifs.</w:t>
      </w:r>
    </w:p>
    <w:p>
      <w:r>
        <w:rPr>
          <w:b/>
        </w:rPr>
        <w:t>E. 5</w:t>
      </w:r>
    </w:p>
    <w:p>
      <w:r>
        <w:t>Appropriation illégitime et vol</w:t>
      </w:r>
    </w:p>
    <w:p>
      <w:r>
        <w:rPr>
          <w:b/>
        </w:rPr>
        <w:t>E. 5.1</w:t>
      </w:r>
    </w:p>
    <w:p>
      <w:r>
        <w:t>La recourante reproche au Ministère public d'avoir considéré à tort que la jument « K.________ » appartenait à H.________ du vivant de feu F.D.________. Elle fait notamment valoir que la Fédération Suisse des Sports Equestres (FSSE) lui aurait confirmé par téléphone que H.________ avait été inscrite comme propriétaire le 8 juin 2016 et non le 8 juin 2015. Par ailleurs, la recourante requiert que la FSSE produise le passeport de la jument « K.________ », ainsi que tout autre document adressé en lien avec cette jument.</w:t>
      </w:r>
    </w:p>
    <w:p>
      <w:r>
        <w:rPr>
          <w:b/>
        </w:rPr>
        <w:t>E. 5.2.1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w:t>
      </w:r>
    </w:p>
    <w:p>
      <w:r>
        <w:t>- 17 -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w:t>
      </w:r>
    </w:p>
    <w:p>
      <w:r>
        <w:rPr>
          <w:b/>
        </w:rPr>
        <w:t>E. 5.2.2</w:t>
      </w:r>
    </w:p>
    <w:p>
      <w:r>
        <w:t>Se rend coupable de vol au sens de l'art. 139 ch. 1 CP celui qui, pour se procurer ou procurer à un tiers un enrichissement illégitime, aura soustrait une chose mobilière appartenant à autrui dans le but de se l'approprier. Le vol représente une forme qualifiée de délit d'appropriation à raison du comportement incriminé, soit la soustraction de la chose mobilière d'autrui, que l'auteur commet dans un dessein d'appropriation et d'enrichissement illégitime (ATF 132 IV 108 consid. 2.1, SJ 2006 1 277). Cette infraction suppose la réunion de cinq éléments constitutifs, soit une chose mobilière appartenant à autrui, un acte de soustraction, l'intention, un dessein d'appropriation et un dessein d'enrichissement illégitime (Dupuis et al., op. cit., nn. 5-6 ad art. 139 CP). La soustraction se définit comme la rupture de la possession d'autrui, contraire à la volonté de l'ayant droit, aboutissant à la création d'une nouvelle possession, en général en faveur de l'auteur lui-même (ATF 132 IV 108 consid. 2.1, ATF 115 IV 104 consid. Ic/aa, JdT 1990 IV 139 ; ATF</w:t>
      </w:r>
    </w:p>
    <w:p>
      <w:r>
        <w:t>- 18 - 112 IV 9 consid. 2a, JdT 1987 IV 5). Le vol est une infraction de nature intentionnelle. L'élément subjectif doit englober l'appartenance à autrui de la chose mobilière et l'auteur doit s'accaparer celle-ci avec conscience et volonté. Un simple dessein d'appropriation et d'enrichissement illégitime suffit.</w:t>
      </w:r>
    </w:p>
    <w:p>
      <w:r>
        <w:rPr>
          <w:b/>
        </w:rPr>
        <w:t>E. 5.3</w:t>
      </w:r>
    </w:p>
    <w:p>
      <w:r>
        <w:t>Dans le cas présent, H.________ a produit un récépissé attestant du paiement de la somme de 98 fr. à la FSSE intervenu le 1 er juin 2015 (P. 25/14), ainsi qu'une copie du passeport de la jument « K.________ », dont il ressort que H.________ en est la propriétaire depuis le 8 juin 2015 (P. 25/15). Ces éléments sont suffisants pour attester que des démarches en vue du transfert de propriété de la jument ont été effectuées avant le décès de feu et que dit changement a pris effet le 8 juin 2015 et non le 8 juin 2016 comme le prétend la recourante. Du reste, le fait qu'un changement de propriété serait intervenu à cette dernière date n'est guère plausible dès lors que le cheval en question est décédé le 24 mai 2016, ce que la recourante ne manque d'ailleurs pas de relever. Pour ces raisons, il convient de rejeter la réquisition de preuve de la recourante tendant à ce que la FSSE produise le passeport de la jument « K.________ », ainsi que « tout autre document adressé en lien avec cette jument ». Partant, aucune infraction d'appropriation illégitime ou de vol ne peut être reprochée à H.________. Le classement doit également être confirmé sur ce point faute de soupçons suffisants.</w:t>
      </w:r>
    </w:p>
    <w:p>
      <w:r>
        <w:rPr>
          <w:b/>
        </w:rPr>
        <w:t>E. 5.4</w:t>
      </w:r>
    </w:p>
    <w:p>
      <w:r>
        <w:t>Enfin, la recourante reproche au Ministère public d'avoir considéré qu’aucune infraction pénale n'avait été commise par E.D.________ et B.D.________. Elle soutient, d'une part, qu'il ne faudrait accorder aucune crédibilité aux dires des prévenus, notamment parce qu'ils ont varié dans leurs déclarations et, d'autre part, qu'aucun élément tangible ne corroborerait le fait que feu F.D.________ aurait émis pour volonté que les prévenus perçoivent le prix de vente des bovins après son décès.</w:t>
      </w:r>
    </w:p>
    <w:p>
      <w:r>
        <w:t>- 19 - En l'espèce, il convient de relever que l'explication donnée par B.D.________ selon laquelle il était encore inscrit comme propriétaire du domaine aux côtés d’E.D.________ (PV aud. 4, p. 3), alors qu'en réalité c'était son fils qui s'occupait de l'exploitation depuis 2012, est plausible. En effet, il ressort de l'instruction que seul E.D.________ était impliqué dans les échanges avec H.________ De plus, les procès-verbaux d'achat de bovins (P. 5/16) ont été établis au nom de son fils. Le classement peut ainsi être confirmé en ce qui concerne B.D.________. S'agissant d’E.D.________ on relèvera que ses déclarations au sujet de la vente des vaches laitières se trouvant sur son domaine mais appartenant à F.D.________ sont confuses et fluctuantes. Dans un premier temps, par courrier daté du 16 septembre 2017, E.D.________ et B.D.________ ont indiqué que feu F.D.________ avait procédé lui-même à la vente de son bétail auprès de la SVGB (P. 5/15). Puis, E.D.________ a déclaré que « lorsqu'elles ne pouvaient plus produire de lait, [il] (ndlr : E.D.________) devai[t] les envoyer à la boucherie et il (ndlr : F.D.________) récupérait les gains ainsi réalisés » directement sur son compte (PV aud. 2 p. 6). Plus tard, il a indiqué se souvenir que l'argent avait été versé sur son propre compte et qu'il avait touché de l'argent concernant la vente d'environ six bêtes lesquelles avaient été préalablement inscrites à son nom afin que la Banque de données sur le trafic d'animaux (BDTA) soit à jour lorsque F.D.________ était tombé malade (ibidem, p. 12). Il a indiqué qu'il ne se rappelait plus si un arrangement avait été trouvé avec son oncle, mais qu'il avait dû en trouver un, dès lors qu'ils œuvraient en toute transparence. Quant à B.D.________, il a déclaré qu'il ne savait pas ce qui avait été convenu entre son fils et son frère à cet égard (PV aud. 4, p. 5). Il n'existe dès lors aucun indice corroborant l'existence d'un tel arrangement. Au vu de ce qui précède, une condamnation d’E.D.________ ne saurait, à ce stade de l'instruction, être totalement exclue. Partant, en application du principe in dubio pro duriore, il était prématuré de rendre</w:t>
      </w:r>
    </w:p>
    <w:p>
      <w:r>
        <w:t>- 20 - une ordonnance de classement s'agissant de l'infraction d'appropriation illégitime, voire de vol, reprochée à l'intimé.</w:t>
      </w:r>
    </w:p>
    <w:p>
      <w:r>
        <w:rPr>
          <w:b/>
        </w:rPr>
        <w:t>E. 6</w:t>
      </w:r>
    </w:p>
    <w:p>
      <w:r>
        <w:t>Effets accessoires</w:t>
      </w:r>
    </w:p>
    <w:p>
      <w:r>
        <w:rPr>
          <w:b/>
        </w:rPr>
        <w:t>E. 6.1</w:t>
      </w:r>
    </w:p>
    <w:p>
      <w:r>
        <w:t>La recourante fait valoir que l'autorité précédente a violé l'art. 432 al. 1 CPP en mettant à sa charge l'indemnité allouée à la prévenue à forme de l'art. 429 al. 1 let. a CPP.</w:t>
      </w:r>
    </w:p>
    <w:p>
      <w:r>
        <w:rPr>
          <w:b/>
        </w:rPr>
        <w:t>E. 6.2</w:t>
      </w:r>
    </w:p>
    <w:p>
      <w:r>
        <w:t>Aux termes de l'art. 432 CPP,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rPr>
          <w:b/>
        </w:rPr>
        <w:t>E. 6.3</w:t>
      </w:r>
    </w:p>
    <w:p>
      <w:r>
        <w:t>En l'espèce, on constate que la recourante n'a pas formulé de conclusions civiles, de sorte que l'art. 432 al. 1 CPP ne trouve pas application. Il en va de même s'agissant du deuxième alinéa de cette disposition, dès lors que les infractions pour lesquelles H.________ était prévenue ne se poursuivent pas uniquement sur plainte. Il s'ensuit que le chiffre III du dispositif de l'ordonnance de classement doit être réformé, en ce sens que l'indemnité de 6'832 fr. 50 allouée à H.________ pour les dépenses occasionnées par l'exercice raisonnable de ses droits dans la procédure doit être mise à la charge de l'Etat (art. 423 CPP).</w:t>
      </w:r>
    </w:p>
    <w:p>
      <w:r>
        <w:t>- 21 - Vu la réforme de l'ordonnance entreprise, il y a lieu de laisser les frais de la procédure de première instance à la charge de l'Etat (art. 428 al. 3 CPP).</w:t>
      </w:r>
    </w:p>
    <w:p>
      <w:r>
        <w:rPr>
          <w:b/>
        </w:rPr>
        <w:t>E. 7</w:t>
      </w:r>
    </w:p>
    <w:p>
      <w:r>
        <w:t>Au vu de ce qui précède, le recours interjeté par A.D.________ doit être partiellement admis et l'ordonnance de classement annulée en tant qu'elle vaut classement de la procédure pénale dirigée contre E.D.________ pour appropriation illégitime, subsidiairement vol, et réformée aux chiffres III et V de son dispositif en ce sens que l'indemnité et les frais de procédure de première instance sont laissés à la charge de l'Etat, l'ordonnance étant confirmée pour le surplus. Le dossier de la cause sera renvoyé au Ministère public de l'arrondissement de l'Est vaudois pour qu'il procède dans le sens des considérants (art. 397 al. 2 CPP). Les frais de la procédure de recours sont constitués de l'émolument du présent arrêt, et se montent à 2'200 fr. (art. 20 al. 1 TFIP [Tarif des frais judiciaires de procédure et indemnités en matière pénale du 28 septembre 2010 ; BLV 312.03.1]). Etant donné que l’ordonnance de classement concerne trois cas – le cas n° 1 reproché à H.________, le cas n° 2 à E.D.________ et B.D.________ et le cas n° 3 à H.________ – plus les frais accessoires, il sied de considérer que chaque cas représente un quart des frais, les frais accessoires représentant le dernier quart. La recourante n’obtenant gain de cause qu’à hauteur d’un huitième (pour la moitié du cas n° 2) et d’un quart (soit sur les frais accessoires), il s’ensuit que cinq huitièmes des frais doivent être mis à sa charge, soit 1'375 fr. et trois huitièmes à la charge des autres parties, plus précisément un huitième à la charge de l’Etat (correspondant à l’autre moitié du cas n° 2) et un quart, soit 550 fr., à la charge de H.________, qui succombe sur les frais, puisqu’elle a conclu au rejet du recours. La recourante, qui obtient partiellement gain de cause et qui a procédé avec l'assistance d'un mandataire professionnel, a droit à une indemnité réduite de cinq huitièmes pour les dépenses occasionnées par</w:t>
      </w:r>
    </w:p>
    <w:p>
      <w:r>
        <w:t>- 22 - l'exercice raisonnable de ses droits pour la procédure de recours (art. 436 al. 1 et 3 CPP). Au vu du mémoire de recours, les honoraires totaux doivent être fixés à 2'400 fr., correspondant à 8 heures d'activité nécessaire d'avocat au tarif horaire de 300 fr., montant auquel il convient d'ajouter des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48 fr., ainsi que la TVA au taux de 7,7 %, par 188 fr. 50, soit à 2'647 fr. au total en chiffres arrondis. Ce montant, réduit de trois huitièmes, arrondi à 992 fr., sera supporté à raison d’un huitième sur le tout par l’Etat, par 330 fr. [992 x 1/3] et de deux huitièmes sur le tout par H.________, par 662 fr. [992 x 2/3] (art. 428 al. 1 CPP). L'intimée H.________, qui a également procédé par l'intermédiaire d'un conseil de choix, a droit à une indemnité réduite de trois huitièmes pour les dépenses occasionnées par l'exercice raisonnable de ses droits de procédure pour la procédure de recours (art. 436 al. 1 et 3 CPP). En effet, elle a conclu au rejet du recours, y compris sur les frais et indemnité ; elle gagne sur la contestation du classement qui la concerne (cas n° 1 et 3) et sur la moitié du cas n° 2, soit sur cinq huitièmes, mais perd sur le sort de l’indemnité, ainsi que l’autre moitié du cas n° 2, soit sur trois huitièmes. Compte tenu de ses déterminations, ses honoraires totaux peuvent être fixés à 1'800 fr., correspondant à 6 heures d'activité nécessaire d'avocat au tarif horaire de 300 fr., montant auquel il convient d'ajouter des débours forfaitaires à concurrence de 2% (art. 3bis al. 1 RAJ, applicable par renvoi de l'art. 26b TFIP), par 36 fr., ainsi que Ia TVA au taux de 7,7 %, par 141 fr. 40, soit à 1'978 fr. au total en chiffres arrondis. Dite indemnité, réduite de trois huitièmes, s'élève ainsi à 1’237 fr., en chiffres arrondis, et sera mise à la charge de la recourante (art. 428 al. 1 CPP).</w:t>
      </w:r>
    </w:p>
    <w:p>
      <w:r>
        <w:t>- 23 - Par ces motifs, la Chambre des recours pénale prononce : I. Le recours est partiellement admis. II. Le chiffre II du dispositif de l’ordonnance du 29 septembre 2022 est annulé en tant qu’il concerne E.D.________ et ses chiffres III et V réformés en ce sens que l’indemnité et les frais de procédure sont laissés à la charge de l’Etat. L’ordonnance est confirmée pour le surplus. III. Le dossier de la cause est renvoyé au Ministère public de l’arrondissement de La Côte pour qu’il procède dans le sens des considérants. IV. Les frais de procédure, par 2'200 fr. (deux mille deux cents francs), sont mis à la charge de A.D.________ à raison de 1'375 fr. (mille trois cent septante-cinq francs) et à la charge de H.________ à raison de 550 fr. (cinq cent cinquante francs), le solde de 275 fr. étant laissé à la charge de l’Etat. V. Une indemnité réduite de 992 fr. (neuf cent nonante-deux francs) est allouée à A.D.________ pour la procédure de recours et mise à la charge de H.________ à hauteur de 662 fr. (six cent soixante-deux francs), le solde de 330 fr. étant laissé à la charge de l’Etat. VI. Une indemnité réduite de 1'237 fr. (mille deux cent trente-sept francs) est allouée à H.________ pour la procédure de recours et mise à la charge de A.D.________. VII. L’arrêt est exécutoire. La présidente : La greffière :</w:t>
      </w:r>
    </w:p>
    <w:p>
      <w:r>
        <w:t>- 24 - Du Le présent arrêt, dont la rédaction a été approuvée à huis clos, est notifié, par l'envoi d'une copie complète, à : - Me Matthieu Genillod (pour A.D.________), - Me Yasmina Rossi (pour H.________), - E.D.________, - B.D.________,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