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PE19.002946 vom 19. Februar 2019</w:t>
      </w:r>
    </w:p>
    <w:p>
      <w:r>
        <w:t>VD Tribunal cantonal, 2019-02-19, FR</w:t>
      </w:r>
    </w:p>
    <w:p>
      <w:r>
        <w:rPr>
          <w:b/>
        </w:rPr>
        <w:t xml:space="preserve">Quelle: </w:t>
      </w:r>
      <w:r>
        <w:t>https://mcp.opencaselaw.ch/entscheid/vd_gerichte_PE19.002946</w:t>
      </w:r>
    </w:p>
    <w:p>
      <w:r>
        <w:t>FR: VD_GERICHTE PE19.002946 du 19 février 2019</w:t>
      </w:r>
    </w:p>
    <w:p>
      <w:r>
        <w:t>IT: VD_GERICHTE PE19.002946 del 19 febbraio 2019</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18 octobre 2017/708; CREP 12 février 2015/111;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w:t>
      </w:r>
    </w:p>
    <w:p>
      <w:r>
        <w:t>- 4 - procédure pénale suisse; BLV 312.01]; art. 80 LOJV [loi vaudoise du 12 décembre 1979 d’organisation judiciaire; BLV 173.01]). En l’espèce, le recours a été interjeté en temps utile et dans les formes prescrites (cf. art. 385 al. 1 CPP) par une prévenue qui a qualité pour recourir (art. 382 CPP), de sorte qu’il est recevable.</w:t>
      </w:r>
    </w:p>
    <w:p>
      <w:r>
        <w:rPr>
          <w:b/>
        </w:rPr>
        <w:t>E. 2.1</w:t>
      </w:r>
    </w:p>
    <w:p>
      <w:r>
        <w:t>Conformément à l’art. 221 al. 1 CPP, la détention provisoire ne peut être ordonnée que lorsque le prévenu est fortement soupçonné d’avoir commis un crime ou un délit et qu’il y a sérieusement lieu de craindre qu’il ne se soustraie à la procédure pénale ou à la sanction prévisible en prenant la fuite (let. a), qu’il ne compromette la recherche de la vérité en exerçant une influence sur des personnes ou en altérant des moyens de preuve (let. b) ou qu’il ne compromette sérieusement la sécurité d’autrui par des crimes ou des délits graves après avoir déjà commis des infractions du même genre (let. c). En outre, comme toute mesure de contrainte, la détention provisoire ne peut être ordonnée que si elle respecte le principe de la proportionnalité au sens étroit (art. 197 al. 1 let. d CPP). Dans son mémoire, la recourante ne conteste pas l’existence des forts soupçons de vols et d’entrée illégale qui pèsent sur elle, sous réserve du vol que le ministère public lui reproche d’avoir commis le 1er mai 2018. Elle conteste, en revanche, l’existence d’un risque de récidive.</w:t>
      </w:r>
    </w:p>
    <w:p>
      <w:r>
        <w:rPr>
          <w:b/>
        </w:rPr>
        <w:t>E. 2.2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TF 1B_237/2018 du 6 juin 2018 consid. 4.1). Le risque de récidive peut également se fonder sur les infractions faisant l'objet de la procédure pénale en cours, si le prévenu est fortement</w:t>
      </w:r>
    </w:p>
    <w:p>
      <w:r>
        <w:t>- 5 - soupçonné – avec une probabilité confinant à la certitude – de les avoir commises (ATF 137 IV 84 consid. 3.2 et réf. cit.).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 citées, JdT 2017 IV 262). En principe, les délits contre le patrimoine ne menacent pas directement la sécurité des lésés (cf. TF 1B_26/2017 du 8 février 2017 consid. 3.1.1; TF 1B_32/2017 du 4 mai 2017 consid. 3.3.5 pour une casuistique des différents délits contre le patrimoine); tel n'est le cas que si les circonstances en présence sont "particulièrement graves" (cf. TF 1B_26/2017 et TF 1B_32/2017 précités; ATF 143 IV 9 consid. 2.7 et les références citées). Le Tribunal fédéral a notamment nié l'existence d'une telle gravité en cas de tentative de vol ou de vol d'importance mineure, ainsi que pour la commission d'une escroquerie à l'aide sociale portant sur 200'000 à 300'000 fr. (TF 1B_32/2017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 citées).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w:t>
      </w:r>
    </w:p>
    <w:p>
      <w:r>
        <w:t>- 6 -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 JdT 2017 IV 262).</w:t>
      </w:r>
    </w:p>
    <w:p>
      <w:r>
        <w:rPr>
          <w:b/>
        </w:rPr>
        <w:t>E. 2.3</w:t>
      </w:r>
    </w:p>
    <w:p>
      <w:r>
        <w:t>En l’espèce, contrairement à ce que soutient la recourante, il est sans importance que celle-ci n’ait pas soustrait elle-même le vêtement volé le 1er mai 2018 à [...]. Selon le rapport de police, les images enregistrées par le système de surveillance de la boutique la montrent en train de faire le guet, afin de permettre à sa comparse de soustraire un vêtement sans être vue des vendeuses. Il existe donc de forts soupçons que la recourante ait commis de nouvelles infractions après sa condamnation par le Ministère public du canton de Genève. Mais il est vrai que les vols, parfois d’importance mineure, que semble avoir commis la recourante et qu’on peut craindre de la voir commettre à nouveau, ainsi que les infractions à la LEI (loi fédérale du 16 décembre 2005 sur les étrangers et l’intégration ; RS 142.20) qu’elle semble commettre à ces occasions, ne mettent pas en danger la sécurité d’autrui. Le risque de récidive présenté par la recourante ne justifie dès lors pas, à lui seul, son placement en détention provisoire. Le grief relatif à l'absence du risque de récidive est dès lors fondé.</w:t>
      </w:r>
    </w:p>
    <w:p>
      <w:r>
        <w:rPr>
          <w:b/>
        </w:rPr>
        <w:t>E. 3</w:t>
      </w:r>
    </w:p>
    <w:p>
      <w:r>
        <w:t>La recourante conteste également le risque de fuite.</w:t>
      </w:r>
    </w:p>
    <w:p>
      <w:r>
        <w:rPr>
          <w:b/>
        </w:rPr>
        <w:t>E. 3.1</w:t>
      </w:r>
    </w:p>
    <w:p>
      <w:r>
        <w:t>Selon la jurisprudence, le risque de fuite au sens de l'art. 221 al. 1 let. a CPP doit s'analyser en fonction d'un ensemble de critères tels</w:t>
      </w:r>
    </w:p>
    <w:p>
      <w:r>
        <w:t>- 7 -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 Il est sans importance que l'extradition du prévenu puisse être obtenue (ATF 123 I 31 consid. 3d).</w:t>
      </w:r>
    </w:p>
    <w:p>
      <w:r>
        <w:rPr>
          <w:b/>
        </w:rPr>
        <w:t>E. 3.2</w:t>
      </w:r>
    </w:p>
    <w:p>
      <w:r>
        <w:t>Dans le cas présent, la recourante n’a aucune attache en Suisse. Son mari et ses enfants vivent en France voisine, où elle est domiciliée. L’ordonnance pénale du 4 février 2018 lui a fait comprendre qu’elle est exposée à l’exécution d’une peine privative de liberté ferme si elle vient en Suisse en se signalant aux autorités. Il y a dès lors tout lieu de penser que, si elle était libérée, la recourante retournerait chez elle et qu’elle ne répondrait plus aux convocations des autorités suisses. Le risque de fuite est dès lors caractérisé. Peu importe de savoir si, le cas échéant, elle pourrait être extradée par les autorités françaises. Le grief relatif à l'absence du risque de fuite est dès lors mal fondé.</w:t>
      </w:r>
    </w:p>
    <w:p>
      <w:r>
        <w:rPr>
          <w:b/>
        </w:rPr>
        <w:t>E. 4</w:t>
      </w:r>
    </w:p>
    <w:p>
      <w:r>
        <w:t>Enfin, la recourante conteste la proportionnalité de son placement en détention provisoire.</w:t>
      </w:r>
    </w:p>
    <w:p>
      <w:r>
        <w:rPr>
          <w:b/>
        </w:rPr>
        <w:t>E. 4.1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Il est admis que le juge peut maintenir la détention provisoire aussi longtemps qu’elle n’est pas très proche de la durée de la peine privative de liberté à laquelle il faut s’attendre concrètement en cas de condamnation (ATF 143 IV 168 consid. 5.1 ; ATF 139 IV 270 consid. 3.1 ; ATF 133 I 168 consid. 4.1).</w:t>
      </w:r>
    </w:p>
    <w:p>
      <w:r>
        <w:t>- 8 - Pour l’examen de la proportionnalité de la détention provisoire par rapport à la peine privative de liberté prévisible, il convient de prendre en compte la gravité de l’acte commis et sur lequel porte l’instruction et de prévoir ainsi plus ou moins la durée de la peine probable (Weder, Kommentar zur Schweizerischen Strafprozessordnung, 2e éd., 2014, n. 18 ad art. 212 CPP). L’autorité pénale ordonnant la détention provisoire doit donc procéder aux actes nécessaires pour apprécier la proportionnalité de la durée de la détention (ATF 133 I 270, SJ 2007 I 543). Si la durée de la détention se rapproche trop de celle de la peine privative de liberté à laquelle il faut s’attendre concrètement en cas de condamnation, le prévenu doit être libéré et aucune mesure de substitution ne peut plus être ordonnée (ATF 140 IV 74 consid. 2.3, JdT 2014 IV 289).</w:t>
      </w:r>
    </w:p>
    <w:p>
      <w:r>
        <w:rPr>
          <w:b/>
        </w:rPr>
        <w:t>E. 4.2</w:t>
      </w:r>
    </w:p>
    <w:p>
      <w:r>
        <w:t>En l’espèce, si elle est reconnue coupable des faits dont elle est soupçonnée, la recourante pourra être condamnée à une peine privative de liberté partiellement complémentaire à celle de huitante jours fermes prononcée le 4 février 2018 par le Ministère public du canton de Genève. Il s’ensuit que la détention provisoire ordonnée pour une durée maximale de trois mois est proportionnée et le grief mal fondé. Dans la mesure où il tend à la réforme en ce sens que la requête de placement en détention provisoire présentée par le ministère public soit entièrement rejetée et la recourante remise immédiatement en liberté, le recours doit ainsi être rejeté.</w:t>
      </w:r>
    </w:p>
    <w:p>
      <w:r>
        <w:rPr>
          <w:b/>
        </w:rPr>
        <w:t>E. 5</w:t>
      </w:r>
    </w:p>
    <w:p>
      <w:r>
        <w:t>A titre subsidiaire, la recourante demande que l’exécution de la peine de huitante jours de privation de liberté prononcée par le Ministère public du canton de Genève soit ordonnée à titre de mesure de substitution à la détention provisoire.</w:t>
      </w:r>
    </w:p>
    <w:p>
      <w:r>
        <w:rPr>
          <w:b/>
        </w:rPr>
        <w:t>E. 5.1</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w:t>
      </w:r>
    </w:p>
    <w:p>
      <w:r>
        <w:t>- 9 -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 Lorsque la détention provisoire tend à pallier des risques de fuite et de récidive, l'exécution d'une peine privative de liberté résultant d'une précédente condamnation constitue en principe une mesure de substitution adéquate (ATF 142 IV 367 consid. 2.2, SJ 2017 I 233). Dans le cadre de l'exécution d'une peine, des mesures d'aménagement sont envisageables à la mi-peine et à certaines conditions (cf. p. ex. art. 77a al. 1, 84 al. 6 ou 86 al. 4 CP). Il n'en résulte pas pour autant que le prévenu se retrouverait en liberté ; en effet, le juge de la détention peut prévoir, à titre de condition à la mesure de substitution, que le prévenu sera à nouveau placé en détention provisoire si l'exécution des précédentes condamnations – respectivement l’aménagement de celle-ci – devait entraîner sa libération préalablement à l'issue de la procédure ayant entraîné le placement en détention provisoire (ATF 142 IV 367 consid. 2.2, SJ 2017 I 233).</w:t>
      </w:r>
    </w:p>
    <w:p>
      <w:r>
        <w:t>- 10 -</w:t>
      </w:r>
    </w:p>
    <w:p>
      <w:r>
        <w:rPr>
          <w:b/>
        </w:rPr>
        <w:t>E. 5.2</w:t>
      </w:r>
    </w:p>
    <w:p>
      <w:r>
        <w:t>En l’espèce, l’exécution de la peine prononcée par le Ministère public du canton de Genève pourra être ordonnée à titre de mesure de substitution dès que les autorités pénitentiaires genevoises seront prêtes à recevoir la recourante. Mais, comme il n’est pas certain qu’elles seront prêtes à le faire dans les trois mois, ni que l'avancement de l'enquête le permettra, il n’y a pas lieu, en l’état, d’ordonner la mesure de substitution. Le grief relatif aux mesures de substitution est dès lors également mal fondé. Partant, le recours doit être rejeté.</w:t>
      </w:r>
    </w:p>
    <w:p>
      <w:r>
        <w:rPr>
          <w:b/>
        </w:rPr>
        <w:t>E. 6</w:t>
      </w:r>
    </w:p>
    <w:p>
      <w:r>
        <w:t>Il résulte de ce qui précède que le recours, manifestement mal fondé, doit être rejeté sans échanges d’écritures (art. 390 al. 2 CPP) et l’ordonnance attaquée confirmée. Me Christophe Marguerat, défenseur d'office de la recourante, a déposé une liste d'opérations indiquant avoir consacré 2h35 à ce mandat et avoir assumé des débours par 7 fr. 30. Si la durée de 2 heures alléguée pour la rédaction du recours peut être admise, il convient en revanche de retrancher le temps consacré à la réalisation du bordereau (15 minutes), ainsi que celui dédié à l'envoi de la lettre d'accompagnement jointe au recours (10 minutes) et les deux courriers de transmission dudit recours, respectivement adressés à la recourante et au Ministère public (10 minutes en tout), ces postes ne relevant pas de l'activité d'avocat mais de son secrétariat qui est rémunéré par la prise en compte des frais généraux dans le tarif horaire de l'avocat d'office (CREC 25 mai 2018/164 ; CREP 25 juin 2018/497; CREP 11 mai 2016/310 consid. 3.4.1). C'est ainsi un mandat de 2 heures qui sera retenu, rémunéré au tarif horaire de 180 fr. (cf. art. 2 al. 1 RAJ [Règlement sur l’assistance judiciaire en matière civile du 7 décembre 2010 ; BLV 211.02.3]), ce qui donne lieu à des honoraires de 360 francs. A ce montant s’ajoutent les débours allégués, par 7 fr. 30 et la TVA sur le tout, au taux de 7,7 %, par 27 fr. 70. Il en résulte que l'indemnité qui doit être allouée à Me Christophe Marguerat se monte au total à 387 fr. 70.</w:t>
      </w:r>
    </w:p>
    <w:p>
      <w:r>
        <w:t>- 11 - Les frais de la procédure de recours, constitués de l'émolument d'arrêt, par 1'100 fr. (art. 20 al. 1 TFIP [Tarif des frais de procédure et indemnités en matière pénale du 28 septembre 2010 ; BLV 312.03.1]), et des frais imputables à la défense d’office (art. 422 al. 1 et 2 let. a CPP), par 387 fr. 70, seront mis à la charge de la recourante, qui succombe (art. 428 al. 1 CPP). Le remboursement à l’Etat de l’indemnité allouée au défenseur d’office de la recourante ne sera toutefois exigible que pour autant que la situation économique de cette dernière le permette (art. 135 al. 4 CPP). Par ces motifs, la Chambre des recours pénale prononce : I. Le recours est rejeté. II. L’ordonnance du 7 février 2019 est confirmée. III. L’indemnité allouée au défenseur d’office de la recourante est fixée à 387 fr. 70 (trois cent huitante-sept francs et septante centimes). IV. Les frais d’arrêt, par 1'100 fr. (mille cent francs), ainsi que l’indemnité due au défenseur d’office de la recourante, par 387 fr. 70 (trois cent huitante-sept francs et septante centimes), sont mis à la charge de cette dernière. V. Le remboursement à l’Etat de l’indemnité allouée au chiffre III ci-dessus sera exigible dès que la situation financière de la recourante le permettra. VI. L’arrêt est exécutoire. Le président : La greffière :</w:t>
      </w:r>
    </w:p>
    <w:p>
      <w:r>
        <w:t>- 12 - Du Le présent arrêt, dont la rédaction a été approuvée à huis clos, est notifié, par l'envoi d'une copie complète, à : - Me Christophe Marguerat, avocat (pour Y.________),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