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PE19.002907 vom 12. Februar 2020</w:t>
      </w:r>
    </w:p>
    <w:p>
      <w:r>
        <w:t>VD Tribunal cantonal, 2020-02-12, FR</w:t>
      </w:r>
    </w:p>
    <w:p>
      <w:r>
        <w:rPr>
          <w:b/>
        </w:rPr>
        <w:t xml:space="preserve">Quelle: </w:t>
      </w:r>
      <w:r>
        <w:t>https://mcp.opencaselaw.ch/entscheid/vd_gerichte_PE19.002907</w:t>
      </w:r>
    </w:p>
    <w:p>
      <w:r>
        <w:t>FR: VD_GERICHTE PE19.002907 du 12 février 2020</w:t>
      </w:r>
    </w:p>
    <w:p>
      <w:r>
        <w:t>IT: VD_GERICHTE PE19.002907 del 12 febbraio 2020</w:t>
      </w:r>
    </w:p>
    <w:p>
      <w:pPr>
        <w:pStyle w:val="Heading2"/>
      </w:pPr>
      <w:r>
        <w:t>Erwägungen</w:t>
      </w:r>
    </w:p>
    <w:p>
      <w:r>
        <w:rPr>
          <w:b/>
        </w:rPr>
        <w:t>E. 1</w:t>
      </w:r>
    </w:p>
    <w:p>
      <w:r>
        <w:t>X.________, ressortissant du [...], célibataire, sans enfants, est né le [...] 1998. En 2016, il s'est rendu en Italie où il a obtenu le statut de réfugié, mais n'a pas trouvé d'emploi. Ses casiers judiciaires suisse et italien ne comportent aucune inscription.</w:t>
      </w:r>
    </w:p>
    <w:p>
      <w:r>
        <w:rPr>
          <w:b/>
        </w:rPr>
        <w:t>E. 2</w:t>
      </w:r>
    </w:p>
    <w:p>
      <w:r>
        <w:t>A [...], entre le 16 et le 18 décembre 2018, X.________ a transporté et livré entre 30 et 40 fingers de cocaïne, soit 300 à 400 g bruts, aux habitants de ce logement, qui se sont ensuite chargés de distribuer cette drogue, notamment à [...], déféré séparément.</w:t>
      </w:r>
    </w:p>
    <w:p>
      <w:r>
        <w:rPr>
          <w:b/>
        </w:rPr>
        <w:t>E. 3</w:t>
      </w:r>
    </w:p>
    <w:p>
      <w:r>
        <w:t>A [...], entre le 6 et le 8 janvier 2019, X.________ a transporté et livré, avec E.________, 50 fingers de cocaïne, soit 500 g bruts, aux habitants de ce logement, qui se sont ensuite chargés de distribuer</w:t>
      </w:r>
    </w:p>
    <w:p>
      <w:r>
        <w:t>- 9 - cette drogue, notamment à [...]. Le prévenu a perçu la somme de 1'000 euros pour ce transport. Lors de son contrôle par la police le 8 janvier 2019, E.________ était en possession des sommes de 3'895 euros et 4'000 fr. provenant de cette livraison de cocaïne, qu’il a ramenées aux Pays-Bas, entravant ainsi l’identification de la provenance de cet argent.</w:t>
      </w:r>
    </w:p>
    <w:p>
      <w:r>
        <w:rPr>
          <w:b/>
        </w:rPr>
        <w:t>E. 3.1</w:t>
      </w:r>
    </w:p>
    <w:p>
      <w:r>
        <w:t>Concernant la fixation de la peine, le Tribunal correctionnel a retenu que le prévenu avait effectué de nombreux voyages en tant que mule, en livrant environ 1 kg de cocaïne pure en deux mois contre</w:t>
      </w:r>
    </w:p>
    <w:p>
      <w:r>
        <w:t>- 11 - rémunération. Cette seule quantité pure de cocaïne transportée suffisait pour constater qu'il s'agissait d'un cas grave d'infraction à la loi fédérale sur les stupéfiants, de sorte qu'il n'était pas nécessaire de comparer son rôle avec celui du prévenu E.________, qui avait été condamné par jugement du 1er novembre 2019 rendu par le Tribunal correctionnel de l'arrondissement de Lausanne. A décharge, les premiers juges ont retenu que le prévenu était encore jeune, avait collaboré activement à l'établissement des faits et paraissait regretter sincèrement ses actes. Il devait ainsi être condamné à une peine privative de liberté de 3,5 ans sans sursis. L'appelant considère qu'il n'a pas été tenu compte de son rôle concret au sein du réseau de trafic de stupéfiants pour fixer la quotité de la sanction. Il se réfère au jugement du 1er novembre 2019 précité selon lequel E.________ a également été condamné à une peine privative de liberté de 3,5 ans sans sursis pour infraction grave à la loi fédérale sur les stupéfiants et blanchiment d'argent. Il fait valoir que son activité n'a été que secondaire par rapport à celle d'E.________, en ce sens qu'il n'a fait que transporter de la drogue, au contraire de ce dernier qui a eu plusieurs échanges avec des dépositaires/distributeurs de cocaïne, a passé un accord sur le prix des fingers de cocaïne avec un certain « A.________ », dépositaire, a aidé ce dernier à classer et à répartir des lots de fingers de cocaïne, a tenu une comptabilité de la quantité de drogue transportée, a aidé à écouler de la marchandise depuis le dépôt de [...], a aidé à la distribution d'environ 1 kg de cocaïne pure et a transporté environ 1,5 kg de cocaïne pure.</w:t>
      </w:r>
    </w:p>
    <w:p>
      <w:r>
        <w:rPr>
          <w:b/>
        </w:rPr>
        <w:t>E. 3.2.1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- 12 -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ATF 120 IV 334 consid. 2a), à partir de laquelle le cas doit être considéré comme grave au sens de l'art. 19 al. 2 let. a LStup (ATF 121 IV 193 consid. 2b/aa ; TF 6B_780/2018 du 9 octobre 2018 consid. 2.1 ; TF 6B_107/2013 du 15 mai 2013 consid. 2.1).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w:t>
      </w:r>
    </w:p>
    <w:p>
      <w:r>
        <w:t>- 13 - agir, le juge doit distinguer le cas de celui qui est lui-même toxicomane et agit pour financer sa propre consommation de celui qui participe à un trafic uniquement poussé par l'appât du gain (TF 6B_780/2018 précité ; TF 6B_807/2017 du 30 janvier 2018 consid. 2.1 ;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La peine pécuniaire constitue la sanction principale dans le domaine de la petite et moyenne criminalité, les peines privatives de liberté ne devant être prononcées que lorsque l'Etat ne peut garantir d'une autre manière la sécurité publique. Lorsque tant une peine</w:t>
      </w:r>
    </w:p>
    <w:p>
      <w:r>
        <w:t>- 14 -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3.3</w:t>
      </w:r>
    </w:p>
    <w:p>
      <w:r>
        <w:t>Comme plaidé par la défense, il y a lieu de tenir compte du jugement rendu le 1er novembre 2019 par le Tribunal correctionnel de l'arrondissement de Lausanne concernant E.________ et Z.________, puisqu'il s'agit du même réseau de trafic de cocaïne, opérationnel à tout le moins entre novembre 2018 et février 2019, impliquant plusieurs prévenus à différents échelons hiérarchiques. Selon ce jugement, il a été retenu qu'E.________ avait effectué, entre le 26 novembre 2018 et le 15 janvier 2019, cinq transports de cocaïne entre les Pays-Bas et la Suisse, dont quatre transports pour une quantité de 50 fingers et un transport pour une quantité de 72 fingers (pp. 13-15). Il avait ainsi livré environ 1,5 kg de cocaïne pure (p. 22). En plus de son rôle de mule, le Tribunal a retenu qu'E.________ avait possédé</w:t>
      </w:r>
    </w:p>
    <w:p>
      <w:r>
        <w:t>- 15 - et entreposé une quantité importante de cocaïne, soit plus de 2 kg, au dépôt de [...], et avait ensuite distribué la marchandise en détail aux clients/trafiquants. En effet, E.________ avait admis qu'il avait aidé le dénommé « A.________ » à répartir les fingers en les classant par codes de distribution, qu'il avait tenu un calepin listant les clients/trafiquants auxquels la cocaïne devait être livrée et à quelle quantité, afin de pouvoir rendre des comptes à ses fournisseurs, et qu'il avait eu plusieurs contacts, dont un en personne, avec le commanditaire du réseau de trafiquants. En outre, la quantité de drogue pure trouvée en possession d'E.________, puis écoulée par celui-ci, remplissait la condition du cas grave d'infraction à la loi fédérale sur les stupéfiants. Enfin, il ne faisait aucun doute qu'E.________ et Z.________ s'étaient associés comme membres actifs d'une bande dans le but d'écouler une grande quantité de cocaïne, de sorte que l'aggravante de bande devait être retenue à leur encontre. Concernant X.________, les premiers juges ont retenu que celui- ci avait effectué, entre le 10 décembre 2018 et le 10 février 2019, cinq transports de fingers de cocaïne entre les Pays-Bas et la Suisse, soit deux transports seul pour 30 à 40 fingers, un transport avec E.________ pour 50 fingers, un transport avec E.________ et G.________ pour 232 fingers, dont il transportait lui-même 73 fingers, et un transport avec G.________ pour 155 fingers, dont il en avait ingéré 55. Le prévenu avait ainsi livré environ 1 kg de cocaïne pure et avait été trouvé en possession de 270 g de cocaïne pure qui devait encore être livrée (p. 10). L'activité délictuelle des prévenus X.________ et E.________ a donc été intense, puisqu'ils ont effectué pas moins de cinq transports de cocaïne en l'espace de deux mois, pour une quantité importante de cocaïne brute et des quantités de cocaïne pure presque équivalentes. Ils n'ont agi que par appât du gain et n'ont cessé leurs agissements répréhensibles que parce qu'ils ont été arrêtés. En revanche, les positions des prévenus au sein de l'organisation internationale de trafic de stupéfiants ne paraissent pas avoir été les mêmes. En effet, les premiers juges ont constaté que les empreintes digitales de l'appelant avaient été trouvées sur le calepin contenant les listes de distribution aux différents</w:t>
      </w:r>
    </w:p>
    <w:p>
      <w:r>
        <w:t>- 16 - clients/trafiquants, mais ils n'ont pas retenu que celui-ci avait collaboré à la répartition de la cocaïne. E.________ a par ailleurs confirmé que ce n'était pas l'appelant qui avait fait des inscriptions dans le calepin (PV aud. 3, R. 9). Il n'a pas non plus été retenu que l'appelant avait pris des dispositions en vue d'écouler la marchandise, soit en la distribuant en détail aux clients/trafiquants. Le rôle de l'appelant au sein du réseau a donc été de moindre importance que celui d'E.________, ce qui justifie une diminution de sa condamnation. A décharge, tant le jugement querellé que celui du 1er novembre 2019 retiennent, à raison, que les deux prévenus sont jeunes, ont collaboré à l'établissement des faits et paraissent avoir pris conscience de leurs actes en exprimant des regrets ou excuses. L'infraction grave à la loi fédérale sur les stupéfiants est passible d'une peine privative de liberté d'un an au moins, celle-ci pouvant être cumulée avec une peine pécuniaire, et l'infraction de blanchiment d'argent est passible d'une peine privative de liberté de trois ans au plus ou d'une peine pécuniaire. Dans le cas particulier, au vu du trafic important et intense de cocaïne opéré, une peine privative de liberté apparaît la plus efficace pour garantir la santé publique, ce constat valant ici exclusivement pour l'infraction de blanchiment d'argent qui, contrairement à l'art. 19 al. 2 LStup, prévoit alternativement la peine privative de liberté ou la peine pécuniaire. Il sera retenu 30 mois pour l'infraction grave à la loi fédérale sur les stupéfiants, qui constitue l'infraction la plus grave. Par l'effet du concours, il faut y ajouter 6 mois pour le blanchiment d'argent, ce qui porte le total à 3 ans de peine privative de liberté. 4.</w:t>
      </w:r>
    </w:p>
    <w:p>
      <w:r>
        <w:rPr>
          <w:b/>
        </w:rPr>
        <w:t>E. 4</w:t>
      </w:r>
    </w:p>
    <w:p>
      <w:r>
        <w:t>A [...], entre le 14 et le 15 janvier 2019, X.________ a transporté et livré, avec E.________ et G.________, 232 fingers de cocaïne, soit 2'320 g bruts, dont il transportait lui-même 73 fingers, soit 730 g bruts, aux habitants de ce logement, qui se sont ensuite chargés de distribuer une partie de cette drogue. Un solde de 26 fingers a été saisi dans l’appartement. G.________ a reçu pour ce transport la somme 5'620 euros, dont 1'080 euros pour lui et le solde pour son fournisseur. Les empreintes digitales de X.________ ont été trouvées sur le calepin contenant les listes de distribution de la cocaïne.</w:t>
      </w:r>
    </w:p>
    <w:p>
      <w:r>
        <w:rPr>
          <w:b/>
        </w:rPr>
        <w:t>E. 4.1</w:t>
      </w:r>
    </w:p>
    <w:p>
      <w:r>
        <w:t>L'appelant considère qu'il a droit à un sursis partiel. Il fait valoir l'absence de toute inscription dans ses casiers judiciaires suisse et italien, sa bonne collaboration à l'établissement de la vérité, l'expression de ses regrets les plus sincères, sa position de subalterne au sein du réseau de distribution et la durée de détention déjà subie.</w:t>
      </w:r>
    </w:p>
    <w:p>
      <w:r>
        <w:t>- 17 -</w:t>
      </w:r>
    </w:p>
    <w:p>
      <w:r>
        <w:rPr>
          <w:b/>
        </w:rPr>
        <w:t>E. 4.2</w:t>
      </w:r>
    </w:p>
    <w:p>
      <w:r>
        <w:t>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 TF 6B_392/2016 du 10 novembre 2016 ; ATF 134 IV 1 consid. 5.2).</w:t>
      </w:r>
    </w:p>
    <w:p>
      <w:r>
        <w:rPr>
          <w:b/>
        </w:rPr>
        <w:t>E. 4.3</w:t>
      </w:r>
    </w:p>
    <w:p>
      <w:r>
        <w:t>En l'espèce, les casiers judiciaires suisse et italien de l'appelant sont vierges de toute inscription. Il convient de tenir compte du fait qu'il est jeune et a paru sincèrement regretter son comportement au cours des deux audiences de première et seconde instances, ajoutant qu'il</w:t>
      </w:r>
    </w:p>
    <w:p>
      <w:r>
        <w:t>- 18 - ne recommencerait plus. Au cours de l'audience d'appel, il a confirmé qu'il était toujours d'accord d'être expulsé de Suisse et a déclaré qu'il voulait retourner en Italie afin de poursuivre des études de langues qu'il avait entreprises. Dans la mesure où le pronostic quant au comportement futur de l'appelant est mitigé, il est possible de lui accorder un sursis partiel, qui portera sur 18 mois et sera assorti d’un délai d’épreuve de quatre ans.</w:t>
      </w:r>
    </w:p>
    <w:p>
      <w:r>
        <w:rPr>
          <w:b/>
        </w:rPr>
        <w:t>E. 5</w:t>
      </w:r>
    </w:p>
    <w:p>
      <w:r>
        <w:t>Conformément à l’art. 51 CP, la détention subie depuis le jugement de première instance sera déduite de la peine privative de liberté prononcée. Le maintien en détention de X.________ en exécution anticipée de peine (art. 220 al. 2 CPP) est ordonné, vu l'absence d'attaches de celui- ci en Suisse et afin de garantir son expulsion.</w:t>
      </w:r>
    </w:p>
    <w:p>
      <w:r>
        <w:rPr>
          <w:b/>
        </w:rPr>
        <w:t>E. 6</w:t>
      </w:r>
    </w:p>
    <w:p>
      <w:r>
        <w:t>Il résulte de ce qui précède que l'appel doit être admis et le jugement entrepris réformé en ce sens que X.________ est condamné à une peine privative de liberté de 3 ans, dont 18 mois avec sursis pendant 4 ans. Me Samuel Benaroyo, avocat-stagiaire au sein de l'Etude de Me Nicolas Blanc, défenseur d'office de l'appelant, a produit une liste des opérations indiquant 11 h 05 de travail effectué par lui-même et 8 h 50 de travail effectué par Me Blanc. Dès lors que c'est Me Benaroyo qui a accompli les opérations principales (recherches juridiques, déclaration d'appel et préparation de l'audience), il sera retenu 12 h d'activité pour celui-ci, audience d'appel par 50 min. comprise, et 1 h d'activité pour Me Blanc à titre de surveillance. Au tarif horaire de 180 fr. pour un avocat et 110 fr. pour un avocat-stagiaire (art. 2 al. 1 let. a et b et 3 al. 1 RAJ [règlement sur l'assistance judiciaire en matière civile du 7 décembre 2010 ; BLV 211.02.3] par renvoi de l'art. 26b TFIP [tarif des frais de procédure et indemnités en matière pénale du 28 septembre 2010 ; BLV 312.03.1]), le défraiement s'élève à 1'500 francs. S'y ajoutent 2 % pour les débours (art. 3bis RAJ par renvoi de l'art. 26b TFIP), soit 30 fr., et une</w:t>
      </w:r>
    </w:p>
    <w:p>
      <w:r>
        <w:t>- 19 - vacation à 80 fr., de sorte que l'indemnité d'office s'élève au total à 1'733 fr. 95, TVA par 7,7 % incluse. Vu l'issue de la cause, l'émolument d'appel, par 1'830 fr., et l'indemnité du défenseur d'office de l'appelant, par 1'733 fr. 95, soit au total 3'563 fr. 95,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