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PE19.002644 vom 1. November 2019</w:t>
      </w:r>
    </w:p>
    <w:p>
      <w:r>
        <w:t>VD Tribunal cantonal, 2019-11-01, FR</w:t>
      </w:r>
    </w:p>
    <w:p>
      <w:r>
        <w:rPr>
          <w:b/>
        </w:rPr>
        <w:t xml:space="preserve">Quelle: </w:t>
      </w:r>
      <w:r>
        <w:t>https://mcp.opencaselaw.ch/entscheid/vd_gerichte_PE19.002644</w:t>
      </w:r>
    </w:p>
    <w:p>
      <w:r>
        <w:t>FR: VD_GERICHTE PE19.002644 du 1 novembre 2019</w:t>
      </w:r>
    </w:p>
    <w:p>
      <w:r>
        <w:t>IT: VD_GERICHTE PE19.002644 del 1 novembre 2019</w:t>
      </w:r>
    </w:p>
    <w:p>
      <w:pPr>
        <w:pStyle w:val="Heading2"/>
      </w:pPr>
      <w:r>
        <w:t>Erwägungen</w:t>
      </w:r>
    </w:p>
    <w:p>
      <w:r>
        <w:rPr>
          <w:b/>
        </w:rPr>
        <w:t>E. 1.1</w:t>
      </w:r>
    </w:p>
    <w:p>
      <w:r>
        <w:t>; TF 6B_936/2018 du 4 décembre 2018 consid. 1.1). Aux termes de l'art. 87 al. 1 CPP, toute communication doit être notifiée au domicile, au lieu de résidence habituelle ou au siège du destinataire. Selon l’art. 87 al. 2 CPP, les parties et leur conseil qui ont leur domicile, leur résidence habituelle ou leur siège à l'étranger sont tenus de désigner un domicile de notification en Suisse; les instruments internationaux prévoyant la possibilité de notification directe sont réservés. Au nombre de ces instruments internationaux figure l’Accord du 28 octobre 1996 entre le Conseil fédéral suisse et le Gouvernement de la République française en vue de compléter la Convention européenne d'entraide judiciaire en matière pénale du 20 avril 1959 (RS 0.351.934.92), entré en vigueur par échange de notes le 1er mai 2000. Cet accord prévoit, à son art. X al. 1, que toutes pièces de procédure et toutes décisions judiciaires en matière pénale peuvent être adressées directement par la voie postale aux personnes qui se trouvent sur le territoire de l'autre Etat (CREP 26 février 2019/148 consid. 1.3 et les références citées). Le délai de dix jours pour former opposition – qui ne peut pas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t>- 6 -</w:t>
      </w:r>
    </w:p>
    <w:p>
      <w:r>
        <w:rPr>
          <w:b/>
        </w:rPr>
        <w:t>E. 1.2</w:t>
      </w:r>
    </w:p>
    <w:p>
      <w:r>
        <w:t>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1.3</w:t>
      </w:r>
    </w:p>
    <w:p>
      <w:r>
        <w:t>Interjeté en temps utile devant l’autorité compétente par le prévenu qui a qualité pour recourir (art. 382 al. 1 CPP) et dans les formes prescrites (art. 385 al. 1 CPP), le recours est recevable.</w:t>
      </w:r>
    </w:p>
    <w:p>
      <w:r>
        <w:rPr>
          <w:b/>
        </w:rPr>
        <w:t>E. 2.1</w:t>
      </w:r>
    </w:p>
    <w:p>
      <w:r>
        <w:t>Les autorités pénales notifient leurs prononcés par lettre signature ou par tout autre mode de communication impliquant un accusé de réception, notamment par l'entremise de la police (art. 85 al. 2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6B_314/2012 du 18 février 2013 consid. 1.3.1). L’art. 85 al. 4 let. a CPP prévoit qu’un prononcé est réputé notifié lorsque, expédié par lettre signature, il n’a pas été retiré dans les sept jours à compter de la tentative infructueuse de remise du pli, si la personne concernée devait s’attendre à une telle remise. De jurisprudence constante, celui qui se sait partie à une procédure judiciaire et qui doit dès lors s’attendre à recevoir notification d’actes du juge est tenu de relever</w:t>
      </w:r>
    </w:p>
    <w:p>
      <w:r>
        <w:t>- 5 -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w:t>
      </w:r>
    </w:p>
    <w:p>
      <w:r>
        <w:rPr>
          <w:b/>
        </w:rPr>
        <w:t>E. 2.2</w:t>
      </w:r>
    </w:p>
    <w:p>
      <w:r>
        <w:t>L'interdiction de l'abus de droit s'étend à l'ensemble des domaines du droit, en particulier à la procédure pénale. L'abus de droit peut consister à utiliser une institution juridique à des fins étrangères au but même de la disposition légale qui la consacre, de telle sorte que l'écart entre le droit exercé et l'intérêt qu'il est censé protéger soit manifeste (ATF 130 IV 72 consid. 2.2 ; ATF 125 IV 79 consid. 1b). L’abus de droit peut aussi consister à adopter un comportement contradictoire (ATF 127 III 506 et les références citées). L’interdiction de l’abus de droit en procédure pénale ne vaut pas seulement pour les autorités pénales, comme énoncé à l’art. 3 al. 2 CPP ; elle impose aussi quelques obligations aux parties, même au prévenu (cf. ATF 130 IV 72 consid. 2.2 ; cf. aussi, sur l’obligation du destinataire d’un acte omettant d’indiquer la voie de recours ouverte de se renseigner à ce sujet dans un délai raisonnable, TF 6B_964/2013 du 6 février 2015 consid. 3.4). L’abus manifeste d’un droit n’étant pas protégé par la loi (cf. art. 2 al. 2 CC [Code civil suisse du 10 décembre 1907 ; RS 210]), il n’y a pas lieu d’entrer en matière sur un moyen qui serait constitutif d’un tel abus.</w:t>
      </w:r>
    </w:p>
    <w:p>
      <w:r>
        <w:rPr>
          <w:b/>
        </w:rPr>
        <w:t>E. 2.3</w:t>
      </w:r>
    </w:p>
    <w:p>
      <w:r>
        <w:t>En l'espèce, après avoir déclaré qu'il ne voulait pas élire un domicile de notification en Suisse, qu'il était informé des conséquences de ce refus et que son adresse en France était utilisable, le recourant commet un abus de droit manifeste en contestant la régularité de la notification intervenue à cette adresse française. En tant qu'il conteste la régularité et, partant, les effets de cette notification, le moyen du recourant est irrecevable. Formée le 11 septembre 2019 contre une ordonnance pénale qui est dès lors réputée avoir été notifiée au prévenu le 7 juin 2019, l'opposition du recourant est tardive. Le recours, mal fondé, doit être rejeté.</w:t>
      </w:r>
    </w:p>
    <w:p>
      <w:r>
        <w:rPr>
          <w:b/>
        </w:rPr>
        <w:t>E. 3.1</w:t>
      </w:r>
    </w:p>
    <w:p>
      <w:r>
        <w:t>Le recours, manifestement mal fondé, doit être rejeté, sans échange d’écritures (art. 390 al. 2 CPP) et le prononcé attaqué confirmé.</w:t>
      </w:r>
    </w:p>
    <w:p>
      <w:r>
        <w:t>- 7 -</w:t>
      </w:r>
    </w:p>
    <w:p>
      <w:r>
        <w:rPr>
          <w:b/>
        </w:rPr>
        <w:t>E. 3.2</w:t>
      </w:r>
    </w:p>
    <w:p>
      <w:r>
        <w:t>La requête présentée par le recourant de désignation d'un défenseur d'office pour la présente procédure sera également rejetée, l'intéressé n'ayant pas prouvé son indigence (CREP 30 septembre 2019/790 consid. 2.2 et les références citées) et le recours étant d'emblée dénué de chances de succès (CREP 22 mars 2019/219 consid. 3 et réf.).</w:t>
      </w:r>
    </w:p>
    <w:p>
      <w:r>
        <w:rPr>
          <w:b/>
        </w:rPr>
        <w:t>E. 3.3</w:t>
      </w:r>
    </w:p>
    <w:p>
      <w:r>
        <w:t>Les frais de la procédure de recours, constitués en l’espèce du seul émolument d'arrêt, par 770 fr. (art. 20 al. 1 TFIP [Tarif des frais de procédure et indemnités en matière pénale du 28 septembre 2010, BLV 312.03.1]), seront mis à la charge du recourant, qui succombe (art. 428 al. 1 CPP).</w:t>
      </w:r>
    </w:p>
    <w:p>
      <w:r>
        <w:rPr>
          <w:b/>
        </w:rPr>
        <w:t>E. 4</w:t>
      </w:r>
    </w:p>
    <w:p>
      <w:r>
        <w:t>Le Ministère public n'ayant pas statué sur la requête de restitution du délai d'opposition formée par le recourant le 11 septembre 2019, le dossier lui sera renvoyé pour décision sur cette requête (ATF 142 IV 201 consid. 2 et les réf. citées; CREP 5 septembre 2019/731 consid. 2.3 in fine et ref.). Par ces motifs, la Chambre des recours pénale prononce : I. Le recours est rejeté. II. Le prononcé du 30 septembre 2019 est confirmé. III. La requête d'assistance judiciaire est rejetée. IV. Les frais d’arrêt, par 770 fr. (sept cent septante francs), sont mis à la charge du recourant. V. Le dossier est adressé au Ministère public de l'arrondissement de La Côte pour décision sur la requête de restitution du délai d'opposition.</w:t>
      </w:r>
    </w:p>
    <w:p>
      <w:r>
        <w:t>- 8 - VI. L’arrêt est exécutoire. Le président : La greffière : Du Le présent arrêt, dont la rédaction a été approuvée à huis clos, est notifié, par l'envoi d'une copie complète, à : - Me Joachin Lederle, avocat (pour F.________), - Ministère public central, et communiqué à : - Mme la Procureure de l'arrondissement de La Côte, - M. le Président du Tribunal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