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PE19.002441 vom 24. Februar 2020</w:t>
      </w:r>
    </w:p>
    <w:p>
      <w:r>
        <w:t>VD Tribunal cantonal, 2020-02-24, FR</w:t>
      </w:r>
    </w:p>
    <w:p>
      <w:r>
        <w:rPr>
          <w:b/>
        </w:rPr>
        <w:t xml:space="preserve">Quelle: </w:t>
      </w:r>
      <w:r>
        <w:t>https://mcp.opencaselaw.ch/entscheid/vd_gerichte_PE19.002441</w:t>
      </w:r>
    </w:p>
    <w:p>
      <w:r>
        <w:t>FR: VD_GERICHTE PE19.002441 du 24 février 2020</w:t>
      </w:r>
    </w:p>
    <w:p>
      <w:r>
        <w:t>IT: VD_GERICHTE PE19.002441 del 24 febbraio 2020</w:t>
      </w:r>
    </w:p>
    <w:p>
      <w:pPr>
        <w:pStyle w:val="Heading2"/>
      </w:pPr>
      <w:r>
        <w:t>Erwägungen</w:t>
      </w:r>
    </w:p>
    <w:p>
      <w:r>
        <w:rPr>
          <w:b/>
        </w:rPr>
        <w:t>E. 5.1</w:t>
      </w:r>
    </w:p>
    <w:p>
      <w:r>
        <w:t>L’appelant conteste ensuite la peine qui lui a été infligée, mais essentiellement pour le motif que seuls les faits décrits sous chiffre 2.3 ci- dessus, pour lesquels il a été arrêté en flagrant délit, pourraient être retenus contre lui. Il se livre en outre à une comparaison de peine pour exposer que l'écart de peine avec celle infligée à O.________, qui a été condamné à une peine privative de liberté de trois ans et demi pour infraction grave à la Loi fédérale sur les stupéfiants et blanchiment d'argent, ne se justifierait pas et résulterait d'une inégalité de traitement. Enfin, il serait digne du sursis.</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- 16 -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ATF 120 IV 334 consid. 2a), à partir de laquelle le cas doit être considéré comme grave au sens de l'art. 19 al. 2 let. a LStup (ATF 121 IV 193 consid. 2b/aa ; TF 6B_780/2018 du 9 octobre 2018 consid. 2.1 ; TF 6B_107/2013 du 15 mai 2013 consid. 2.1).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 TF</w:t>
      </w:r>
    </w:p>
    <w:p>
      <w:r>
        <w:t>- 17 - 6B_807/2017 du 30 janvier 2018 consid. 2.1 ;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w:t>
      </w:r>
    </w:p>
    <w:p>
      <w:r>
        <w:rPr>
          <w:b/>
        </w:rPr>
        <w:t>E. 5.2.2</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et les arrêts cités; TF 6B_963/2019 du 8 octobre 2019 consid. 3.3.1). La comparaison est généralement stérile, dès lors qu'il existe presque toujours des différences entre les circonstances, objectives et subjectives, que le juge doit prendre en considération dans chacun des cas (TF 6B_963/2019 précité consid. 3.3.1; TF 6B_138/2019 du 6 août 2019 consid. 3.1.1). Ce n’est que si le résultat auquel le juge est parvenu apparaît vraiment choquant, compte tenu notamment des arguments invoqués et des cas examinés par la jurisprudence, que l’on peut alors parler d’un véritable abus du pouvoir d’appréciation (ATF 141 IV 61 consid. 6.3.2 p. 69; ATF 135 IV 191 consid. 3.1 p. 193; ATF 123 IV 150 consid. 2a p. 152 s.).</w:t>
      </w:r>
    </w:p>
    <w:p>
      <w:r>
        <w:rPr>
          <w:b/>
        </w:rPr>
        <w:t>E. 5.3</w:t>
      </w:r>
    </w:p>
    <w:p>
      <w:r>
        <w:t>Les éléments retenus par les premiers juges à charge et à décharge sont adéquats. L’appelant a agi dans le cadre d’un trafic de stupéfiants international de grande ampleur. Les quantités de cocaïne qu’il a importées sont très importantes. Son rôle dans la réalisation de ce trafic est décisif, dès lors qu'il convoyait à la fois la drogue et l’argent. La prise de conscience est nulle, dès lors que les versions soutenues par l’appelant</w:t>
      </w:r>
    </w:p>
    <w:p>
      <w:r>
        <w:t>- 18 - au sujet de ses déplacements et des motifs le conduisant à être porteur de grosses sommes d’argent sont ridicules. S'agissant de la comparaison avec la peine infligée à O.________, l'appelant mentionne que le prénommé a été condamné à une peine privative de liberté de trois ans et demi, alors qu'une infraction supplémentaire, soit le blanchiment d'argent, a été retenue contre lui. On doit cependant relever que ce condamné a été mis au bénéfice d'une bonne collaboration, puisqu'il a tout avoué, contrairement à l'appelant, qui persiste à nier l'évidence. En effet, la seule circonstance à décharge de G.________ est celle retenue par les premiers juges, soit celle de la situation personnelle difficile d’un jeune Africain désœuvré. La comparaison n'est donc pas pertinente. La peine privative de liberté de 4 ans prononcée contre l'appelant est ainsi adéquate. Cette quotité exclut la possibilité d’envisager un sursis même partiel (cf. art. 42 al. 1 et 43 al. 1 CP).</w:t>
      </w:r>
    </w:p>
    <w:p>
      <w:r>
        <w:rPr>
          <w:b/>
        </w:rPr>
        <w:t>E. 6.1</w:t>
      </w:r>
    </w:p>
    <w:p>
      <w:r>
        <w:t>L’appelant conteste enfin certaines confiscations et invoque une violation des art. 69 et 70 CP. La provenance délictueuse de la somme séquestrée de 5'520 euros ne serait pas établie et le motif de confiscation des téléphones portables resterait inconnu à teneur du jugement.</w:t>
      </w:r>
    </w:p>
    <w:p>
      <w:r>
        <w:rPr>
          <w:b/>
        </w:rPr>
        <w:t>E. 6.2.1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w:t>
      </w:r>
    </w:p>
    <w:p>
      <w:r>
        <w:t>- 19 -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De plus,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6B_35/2017 du 26 février 2018 consid. 9.1).</w:t>
      </w:r>
    </w:p>
    <w:p>
      <w:r>
        <w:rPr>
          <w:b/>
        </w:rPr>
        <w:t>E. 6.2.2</w:t>
      </w:r>
    </w:p>
    <w:p>
      <w:r>
        <w:t>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w:t>
      </w:r>
    </w:p>
    <w:p>
      <w:r>
        <w:rPr>
          <w:b/>
        </w:rPr>
        <w:t>E. 6.3</w:t>
      </w:r>
    </w:p>
    <w:p>
      <w:r>
        <w:t>Contrairement à ce que soutient l’appelant, il est établi que le montant saisi par la police lausannoise est, comme on l’a vu, une partie du produit de la vente de cocaïne livrée en janvier 2019. Quant aux téléphones portables, ils ont manifestement servi à la commission de</w:t>
      </w:r>
    </w:p>
    <w:p>
      <w:r>
        <w:t>- 20 - l’infraction, les numéros des autres trafiquants étant par ailleurs répertoriés dans ces appareils. Au vu de ce qui précède, il n'y a pas lieu de restituer au prévenu la somme de 5'520 euros, ni les téléphones portables séquestrés.</w:t>
      </w:r>
    </w:p>
    <w:p>
      <w:r>
        <w:rPr>
          <w:b/>
        </w:rPr>
        <w:t>E. 7</w:t>
      </w:r>
    </w:p>
    <w:p>
      <w:r>
        <w:t>En définitive, l'appel doit être rejeté et le jugement attaqué confirmé. La détention subie par G.________ depuis le jugement de première instance sera déduite (art. 51 CP). Pour garantir l’exécution de sa peine et compte tenu du risque de fuite qu’il présente, le maintien en détention de l’intéressé à titre de sûreté sera ordonné. Au vu de la liste d'opérations produite par Me Julien Perrin, défenseur d'office de G.________, dont il n'y a pas lieu de s'écarter, c'est une indemnité de 3'034 fr. 85, TVA et débours inclus, qu'il convient de lui allouer pour la procédure d'appel. Vu l’issue de la cause, les frais d'appel, par 4'974 fr. 85, constitués de l'émolument de jugement (art. 21 al. 1 et 2 TFIP [Tarif des frais de procédure et indemnités en matière pénale du 28 septembre 2010 ; RSV 312.03.1]), par 1'940 fr., et de l’indemnité allouée à son défenseur d’office, par 3'034 fr. 85, seront mis à la charge de G.________, qui succombe (art. 428 al. 1 CPP). G.________ ne sera tenu de rembourser à l’Etat le montant de l'indemnité en faveur de son défenseur d’office que lorsque sa situation financière le permettra.</w:t>
      </w:r>
    </w:p>
    <w:p>
      <w:r>
        <w:t>- 21 - La Cour d’appel pénale, appliquant les art. 40, 47, 50, 51, 66a al. 1 let. o, 69, 70 CP ; 19 al. 1 let. b à d, g et al. 2 let. a et b LStup et 398 ss CPP, prononce : I. L’appel est rejeté. II. Le jugement rendu le 24 février 2020 par le Tribunal correctionnel de l'arrondissement de Lausanne est confirmé selon le dispositif suivant : "I. constate que G.________ s’est rendu coupable d’infraction grave à la Loi fédérale sur les stupéfiants; II. condamne G.________ à 4 (quatre) ans de privation de liberté, sous déduction de 379 (trois cent septante-neuf) jours de détention avant jugement; III. ordonne l’expulsion du territoire suisse de G.________ pour une durée de 10 (dix) ans; IV. ordonne le maintien en détention de G.________, à titre de mesure de sûreté; V. ordonne le maintien au dossier à titre de pièces à conviction des CDs figurant sous fiches n° 25234 et n° 26422; VI. ordonne la confiscation et la destruction des téléphones portables Samsung gris et Nokia bleu séquestrés sous fiche 26402 et de la drogue séquestrée sous fiche S19.000484, ainsi que la dévolution à l’Etat de la somme de 398 fr. 95, soit 360 EUR séquestrés sous fiche 25491, ainsi que la somme de 6'026 fr. 85, soit 5'520 EUR séquestrés sous fiche 26527; VII. met les frais de la cause, par 36'638 fr. 75, comprenant l’indemnité allouée au défenseur d’office, Me Julien Perrin, par 11'181 fr. 75, à la charge de G.________, le remboursement à l’Etat de l’indemnité au défenseur d’office n’étant exigible que si la situation financière du débiteur le permet."</w:t>
      </w:r>
    </w:p>
    <w:p>
      <w:r>
        <w:t>- 22 - III. La détention subie depuis le jugement de première instance est déduite. IV.Le maintien en détention de G.________ à titre de sûreté est ordonné. V. Une indemnité de défenseur d'office pour la procédure d'appel d'un montant de 3'034 fr. 85, TVA et débours inclus, est allouée à Me Julien Perrin. VI.Les frais d'appel, par 4'974 fr. 85, y compris l'indemnité allouée au défenseur d'office, sont mis à la charge de G.________. VII. G.________ ne sera tenu de rembourser à l’Etat le montant de l’indemnité en faveur de son défenseur d’office prévue au ch. V. ci-dessus que lorsque sa situation financière le permettra. Le président : La greffière : Du Le jugement qui précède, dont le dispositif a été communiqué par écrit aux intéressés le 17 juin 2020, est notifié, par l'envoi d'une copie complète, à : - Me Julien Perrin, avocat (pour G.________), - Ministère public central,</w:t>
      </w:r>
    </w:p>
    <w:p>
      <w:r>
        <w:t>- 23 - et communiqué à : - M. le Président du Tribunal correctionnel de l'arrondissement de Lausanne, - Mme la Procureure cantonale Strada, - Service de la population,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